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5A2034">
            <w:pPr>
              <w:suppressLineNumbers/>
              <w:jc w:val="right"/>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6</w:t>
            </w:r>
          </w:p>
        </w:tc>
      </w:tr>
      <w:tr w:rsidR="0094424E">
        <w:trPr>
          <w:jc w:val="center"/>
        </w:trPr>
        <w:tc>
          <w:tcPr>
            <w:tcW w:w="743" w:type="dxa"/>
          </w:tcPr>
          <w:p w:rsidR="0094424E" w:rsidRDefault="005301FE" w:rsidP="00D44968">
            <w:pPr>
              <w:suppressLineNumbers/>
              <w:jc w:val="both"/>
              <w:rPr>
                <w:rFonts w:ascii="Arial" w:hAnsi="Arial"/>
                <w:b/>
                <w:bCs/>
                <w:rtl/>
              </w:rPr>
            </w:pPr>
            <w:r w:rsidRPr="005301FE">
              <w:rPr>
                <w:rFonts w:ascii="Arial" w:hAnsi="Arial" w:hint="cs"/>
                <w:b/>
                <w:bCs/>
                <w:sz w:val="26"/>
                <w:szCs w:val="26"/>
                <w:rtl/>
              </w:rPr>
              <w:t>ל</w:t>
            </w:r>
            <w:r w:rsidR="0094424E" w:rsidRPr="005301FE">
              <w:rPr>
                <w:rFonts w:ascii="Arial" w:hAnsi="Arial"/>
                <w:b/>
                <w:bCs/>
                <w:sz w:val="26"/>
                <w:szCs w:val="26"/>
                <w:rtl/>
              </w:rPr>
              <w:t xml:space="preserve">פני </w:t>
            </w:r>
          </w:p>
        </w:tc>
        <w:tc>
          <w:tcPr>
            <w:tcW w:w="8077" w:type="dxa"/>
            <w:gridSpan w:val="3"/>
          </w:tcPr>
          <w:p w:rsidR="0094424E" w:rsidRDefault="00112421" w:rsidP="00112421">
            <w:pPr>
              <w:rPr>
                <w:rFonts w:ascii="Arial" w:hAnsi="Arial" w:cs="FrankRuehl"/>
                <w:sz w:val="28"/>
                <w:szCs w:val="28"/>
                <w:highlight w:val="yellow"/>
                <w:rtl/>
              </w:rPr>
            </w:pPr>
            <w:r w:rsidRPr="00112421">
              <w:rPr>
                <w:rFonts w:ascii="David" w:eastAsia="Calibri" w:hAnsi="David"/>
                <w:b/>
                <w:bCs/>
                <w:noProof w:val="0"/>
                <w:sz w:val="26"/>
                <w:szCs w:val="26"/>
                <w:rtl/>
              </w:rPr>
              <w:t>כבוד השופט טל פפרני,  סגן הנשיאה</w:t>
            </w:r>
          </w:p>
          <w:p w:rsidR="005A2034" w:rsidRPr="00112421" w:rsidRDefault="005A2034" w:rsidP="00112421">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3D7F05" w:rsidRDefault="004140AA" w:rsidP="004140AA">
            <w:pPr>
              <w:suppressLineNumbers/>
              <w:rPr>
                <w:rFonts w:ascii="Arial" w:hAnsi="Arial"/>
                <w:b/>
                <w:bCs/>
                <w:noProof w:val="0"/>
                <w:sz w:val="26"/>
                <w:szCs w:val="26"/>
                <w:rtl/>
              </w:rPr>
            </w:pPr>
            <w:r w:rsidRPr="005A2034">
              <w:rPr>
                <w:rFonts w:ascii="Arial" w:hAnsi="Arial" w:hint="cs"/>
                <w:b/>
                <w:bCs/>
                <w:noProof w:val="0"/>
                <w:sz w:val="26"/>
                <w:szCs w:val="26"/>
                <w:u w:val="single"/>
                <w:rtl/>
              </w:rPr>
              <w:t>ה</w:t>
            </w:r>
            <w:r w:rsidR="00B97462" w:rsidRPr="005A2034">
              <w:rPr>
                <w:rFonts w:ascii="Arial" w:hAnsi="Arial"/>
                <w:b/>
                <w:bCs/>
                <w:noProof w:val="0"/>
                <w:sz w:val="26"/>
                <w:szCs w:val="26"/>
                <w:u w:val="single"/>
                <w:rtl/>
              </w:rPr>
              <w:t>מבקש</w:t>
            </w:r>
          </w:p>
        </w:tc>
        <w:tc>
          <w:tcPr>
            <w:tcW w:w="5571" w:type="dxa"/>
            <w:gridSpan w:val="2"/>
          </w:tcPr>
          <w:p w:rsidR="0094424E" w:rsidRDefault="0094424E" w:rsidP="00D44968">
            <w:pPr>
              <w:suppressLineNumbers/>
              <w:rPr>
                <w:rFonts w:ascii="Arial" w:hAnsi="Arial"/>
                <w:b/>
                <w:bCs/>
                <w:noProof w:val="0"/>
                <w:sz w:val="26"/>
                <w:szCs w:val="26"/>
                <w:rtl/>
              </w:rPr>
            </w:pPr>
          </w:p>
          <w:p w:rsidR="0094424E" w:rsidRDefault="00E56DBE" w:rsidP="00E56DBE">
            <w:pPr>
              <w:suppressLineNumbers/>
              <w:rPr>
                <w:b/>
                <w:bCs/>
                <w:noProof w:val="0"/>
                <w:sz w:val="26"/>
                <w:szCs w:val="26"/>
                <w:rtl/>
              </w:rPr>
            </w:pPr>
            <w:r>
              <w:rPr>
                <w:rFonts w:ascii="Arial" w:hAnsi="Arial" w:hint="cs"/>
                <w:b/>
                <w:bCs/>
                <w:noProof w:val="0"/>
                <w:sz w:val="26"/>
                <w:szCs w:val="26"/>
                <w:rtl/>
              </w:rPr>
              <w:t xml:space="preserve">פלוני </w:t>
            </w:r>
            <w:r w:rsidR="00E54CD9" w:rsidRPr="00E54CD9">
              <w:rPr>
                <w:rFonts w:ascii="Arial" w:hAnsi="Arial" w:hint="cs"/>
                <w:b/>
                <w:bCs/>
                <w:noProof w:val="0"/>
                <w:sz w:val="26"/>
                <w:szCs w:val="26"/>
                <w:rtl/>
              </w:rPr>
              <w:t xml:space="preserve"> </w:t>
            </w:r>
            <w:r w:rsidR="005301FE">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XXXXXX</w:t>
            </w:r>
          </w:p>
          <w:p w:rsidR="00092B86" w:rsidRDefault="00092B86" w:rsidP="00E56DBE">
            <w:pPr>
              <w:suppressLineNumbers/>
              <w:rPr>
                <w:b/>
                <w:bCs/>
                <w:noProof w:val="0"/>
                <w:sz w:val="26"/>
                <w:szCs w:val="26"/>
              </w:rPr>
            </w:pPr>
            <w:r>
              <w:rPr>
                <w:rFonts w:hint="cs"/>
                <w:b/>
                <w:bCs/>
                <w:noProof w:val="0"/>
                <w:sz w:val="26"/>
                <w:szCs w:val="26"/>
                <w:rtl/>
              </w:rPr>
              <w:t>ע"י ב"כ עוה"ד יניב ערבה</w:t>
            </w:r>
          </w:p>
        </w:tc>
      </w:tr>
      <w:tr w:rsidR="005A2034" w:rsidTr="00465D36">
        <w:trPr>
          <w:jc w:val="center"/>
        </w:trPr>
        <w:tc>
          <w:tcPr>
            <w:tcW w:w="3249" w:type="dxa"/>
            <w:gridSpan w:val="2"/>
          </w:tcPr>
          <w:p w:rsidR="005A2034" w:rsidRDefault="005A2034" w:rsidP="00D44968">
            <w:pPr>
              <w:suppressLineNumbers/>
              <w:rPr>
                <w:rFonts w:ascii="Arial" w:hAnsi="Arial"/>
                <w:b/>
                <w:bCs/>
                <w:noProof w:val="0"/>
                <w:sz w:val="26"/>
                <w:szCs w:val="26"/>
              </w:rPr>
            </w:pPr>
          </w:p>
        </w:tc>
        <w:tc>
          <w:tcPr>
            <w:tcW w:w="5571" w:type="dxa"/>
            <w:gridSpan w:val="2"/>
          </w:tcPr>
          <w:p w:rsidR="005A2034" w:rsidRDefault="005A2034" w:rsidP="00D44968">
            <w:pPr>
              <w:suppressLineNumbers/>
              <w:rPr>
                <w:rFonts w:ascii="Arial" w:hAnsi="Arial"/>
                <w:b/>
                <w:bCs/>
                <w:noProof w:val="0"/>
                <w:sz w:val="26"/>
                <w:szCs w:val="26"/>
                <w:rtl/>
              </w:rPr>
            </w:pP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140AA" w:rsidP="004140AA">
            <w:pPr>
              <w:suppressLineNumbers/>
              <w:rPr>
                <w:rFonts w:ascii="Arial" w:hAnsi="Arial"/>
                <w:b/>
                <w:bCs/>
                <w:noProof w:val="0"/>
                <w:sz w:val="26"/>
                <w:szCs w:val="26"/>
              </w:rPr>
            </w:pPr>
            <w:r w:rsidRPr="005A2034">
              <w:rPr>
                <w:rFonts w:ascii="Arial" w:hAnsi="Arial" w:hint="cs"/>
                <w:b/>
                <w:bCs/>
                <w:noProof w:val="0"/>
                <w:sz w:val="26"/>
                <w:szCs w:val="26"/>
                <w:u w:val="single"/>
                <w:rtl/>
              </w:rPr>
              <w:t>ה</w:t>
            </w:r>
            <w:r w:rsidR="005301FE" w:rsidRPr="005A2034">
              <w:rPr>
                <w:rFonts w:ascii="Arial" w:hAnsi="Arial"/>
                <w:b/>
                <w:bCs/>
                <w:noProof w:val="0"/>
                <w:sz w:val="26"/>
                <w:szCs w:val="26"/>
                <w:u w:val="single"/>
                <w:rtl/>
              </w:rPr>
              <w:t>משיב</w:t>
            </w:r>
            <w:r w:rsidRPr="005A2034">
              <w:rPr>
                <w:rFonts w:hint="cs"/>
                <w:b/>
                <w:bCs/>
                <w:sz w:val="26"/>
                <w:szCs w:val="26"/>
                <w:u w:val="single"/>
                <w:rtl/>
              </w:rPr>
              <w:t>ה</w:t>
            </w:r>
          </w:p>
        </w:tc>
        <w:tc>
          <w:tcPr>
            <w:tcW w:w="5571" w:type="dxa"/>
            <w:gridSpan w:val="2"/>
          </w:tcPr>
          <w:p w:rsidR="0094424E" w:rsidRDefault="00E56DBE" w:rsidP="00E56DBE">
            <w:pPr>
              <w:suppressLineNumbers/>
              <w:rPr>
                <w:rFonts w:ascii="Arial" w:hAnsi="Arial"/>
                <w:b/>
                <w:bCs/>
                <w:noProof w:val="0"/>
                <w:sz w:val="26"/>
                <w:szCs w:val="26"/>
                <w:rtl/>
              </w:rPr>
            </w:pPr>
            <w:r>
              <w:rPr>
                <w:rFonts w:ascii="Arial" w:hAnsi="Arial" w:hint="cs"/>
                <w:b/>
                <w:bCs/>
                <w:noProof w:val="0"/>
                <w:sz w:val="26"/>
                <w:szCs w:val="26"/>
                <w:rtl/>
              </w:rPr>
              <w:t xml:space="preserve">אלמונית </w:t>
            </w:r>
            <w:r w:rsidR="00E54CD9">
              <w:rPr>
                <w:rFonts w:hint="cs"/>
                <w:rtl/>
              </w:rPr>
              <w:t xml:space="preserve"> </w:t>
            </w:r>
            <w:r w:rsidR="005301FE">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XXXXXX</w:t>
            </w:r>
          </w:p>
          <w:p w:rsidR="00092B86" w:rsidRPr="00E54CD9" w:rsidRDefault="00092B86" w:rsidP="00E56DBE">
            <w:pPr>
              <w:suppressLineNumbers/>
              <w:rPr>
                <w:rFonts w:ascii="Arial" w:hAnsi="Arial"/>
                <w:b/>
                <w:bCs/>
                <w:noProof w:val="0"/>
                <w:sz w:val="26"/>
                <w:szCs w:val="26"/>
                <w:rtl/>
              </w:rPr>
            </w:pPr>
            <w:r>
              <w:rPr>
                <w:rFonts w:ascii="Arial" w:hAnsi="Arial" w:hint="cs"/>
                <w:b/>
                <w:bCs/>
                <w:noProof w:val="0"/>
                <w:sz w:val="26"/>
                <w:szCs w:val="26"/>
                <w:rtl/>
              </w:rPr>
              <w:t>ע"י ב"כ עוה"ד קרן הכהן</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140AA" w:rsidRDefault="004140AA" w:rsidP="004140AA">
      <w:pPr>
        <w:pStyle w:val="ad"/>
        <w:numPr>
          <w:ilvl w:val="0"/>
          <w:numId w:val="1"/>
        </w:numPr>
        <w:spacing w:line="360" w:lineRule="auto"/>
        <w:jc w:val="both"/>
      </w:pPr>
      <w:bookmarkStart w:id="1" w:name="NGCSBookmark"/>
      <w:bookmarkEnd w:id="1"/>
      <w:r>
        <w:rPr>
          <w:rFonts w:hint="cs"/>
          <w:rtl/>
        </w:rPr>
        <w:t>בקשה למזונות זמניים.</w:t>
      </w:r>
    </w:p>
    <w:p w:rsidR="004140AA" w:rsidRDefault="004140AA" w:rsidP="004140AA">
      <w:pPr>
        <w:pStyle w:val="ad"/>
        <w:spacing w:line="360" w:lineRule="auto"/>
        <w:jc w:val="both"/>
      </w:pPr>
    </w:p>
    <w:p w:rsidR="004140AA" w:rsidRDefault="004140AA" w:rsidP="004140AA">
      <w:pPr>
        <w:pStyle w:val="ad"/>
        <w:numPr>
          <w:ilvl w:val="0"/>
          <w:numId w:val="1"/>
        </w:numPr>
        <w:spacing w:line="360" w:lineRule="auto"/>
        <w:jc w:val="both"/>
        <w:rPr>
          <w:rtl/>
        </w:rPr>
      </w:pPr>
      <w:r>
        <w:rPr>
          <w:rFonts w:hint="cs"/>
          <w:rtl/>
        </w:rPr>
        <w:t>לפניי תביעת האב למזונות קטינים אשר שוהים במחיצתו מרבית הזמן מזה כשנתיים. במסגרת  תביעה זו הוגשה בקשה למזונות זמניים.</w:t>
      </w:r>
    </w:p>
    <w:p w:rsidR="004140AA" w:rsidRDefault="004140AA" w:rsidP="004140AA">
      <w:pPr>
        <w:pStyle w:val="ad"/>
      </w:pPr>
    </w:p>
    <w:p w:rsidR="004140AA" w:rsidRDefault="004140AA" w:rsidP="004140AA">
      <w:pPr>
        <w:pStyle w:val="ad"/>
        <w:numPr>
          <w:ilvl w:val="0"/>
          <w:numId w:val="1"/>
        </w:numPr>
        <w:spacing w:line="360" w:lineRule="auto"/>
        <w:jc w:val="both"/>
        <w:rPr>
          <w:rtl/>
        </w:rPr>
      </w:pPr>
      <w:r>
        <w:rPr>
          <w:rFonts w:hint="cs"/>
          <w:rtl/>
        </w:rPr>
        <w:t xml:space="preserve">המדובר בבני זוג שהיו נשואים, וביניהם נחתם הסכם גירושין-ממון, שאושר וקיבל תוקף של פסק דין ביום 25.3.21 במסגרת  תיק תלה"מ 53207-05-20. </w:t>
      </w:r>
    </w:p>
    <w:p w:rsidR="004140AA" w:rsidRDefault="004140AA" w:rsidP="004140AA">
      <w:pPr>
        <w:pStyle w:val="ad"/>
      </w:pPr>
    </w:p>
    <w:p w:rsidR="004140AA" w:rsidRDefault="004140AA" w:rsidP="00ED1A34">
      <w:pPr>
        <w:pStyle w:val="ad"/>
        <w:numPr>
          <w:ilvl w:val="0"/>
          <w:numId w:val="1"/>
        </w:numPr>
        <w:spacing w:line="360" w:lineRule="auto"/>
        <w:jc w:val="both"/>
      </w:pPr>
      <w:r>
        <w:rPr>
          <w:rFonts w:hint="cs"/>
          <w:rtl/>
        </w:rPr>
        <w:t>במסגרת  הסכם הגירושין הוסכם כי משמורת הקטינים תהא משותפת אצל שני ההורים וחלוקת זמני שהות שווה. הוסכם כי האב ישלם לאם דמי מזונות בסך 5,000 ש"ח  לחודש. עוד הוסכם כי הוצאות הבריאות ישולמו בחלקים שווים, וכך גם הוצאות החינוך.  עוד הוסכם כי קצבת הילדים תועבר לאם, ובנוסף מענקי ביטוח לאומי, לרבות קצבאות תחילת שנת לימודים וכל קצבה אחרת המשלמת מאת המוסד לביטוח לאומי. חריג לעניין זה נקבע לגבי ק</w:t>
      </w:r>
      <w:r w:rsidR="00ED1A34">
        <w:rPr>
          <w:rFonts w:hint="cs"/>
          <w:rtl/>
        </w:rPr>
        <w:t>צבת הנכות המשולמת עבור הבן .....</w:t>
      </w:r>
      <w:r>
        <w:rPr>
          <w:rFonts w:hint="cs"/>
          <w:rtl/>
        </w:rPr>
        <w:t xml:space="preserve">, אשר לגביה נקבע כי תופקד בחשבון משותף ייעודי, ותשמש לצרכיו של </w:t>
      </w:r>
      <w:r w:rsidR="00ED1A34">
        <w:rPr>
          <w:rFonts w:hint="cs"/>
          <w:rtl/>
        </w:rPr>
        <w:t>.....</w:t>
      </w:r>
      <w:r>
        <w:rPr>
          <w:rFonts w:hint="cs"/>
          <w:rtl/>
        </w:rPr>
        <w:t xml:space="preserve">. </w:t>
      </w:r>
    </w:p>
    <w:p w:rsidR="00042329" w:rsidRDefault="00042329" w:rsidP="00042329">
      <w:pPr>
        <w:pStyle w:val="ad"/>
        <w:rPr>
          <w:rtl/>
        </w:rPr>
      </w:pPr>
    </w:p>
    <w:p w:rsidR="00042329" w:rsidRDefault="00042329" w:rsidP="009F2405">
      <w:pPr>
        <w:pStyle w:val="ad"/>
        <w:numPr>
          <w:ilvl w:val="0"/>
          <w:numId w:val="1"/>
        </w:numPr>
        <w:spacing w:line="360" w:lineRule="auto"/>
        <w:jc w:val="both"/>
      </w:pPr>
      <w:r>
        <w:rPr>
          <w:rFonts w:hint="cs"/>
          <w:rtl/>
        </w:rPr>
        <w:t>עוד נקבע במסגרת  הסכם הגירושין וחלוקת הרכוש המשותף כי המשיבה תקבל לידיה סך כולל של 2,0</w:t>
      </w:r>
      <w:r w:rsidR="0010047E">
        <w:rPr>
          <w:rFonts w:hint="cs"/>
          <w:rtl/>
        </w:rPr>
        <w:t>0</w:t>
      </w:r>
      <w:r>
        <w:rPr>
          <w:rFonts w:hint="cs"/>
          <w:rtl/>
        </w:rPr>
        <w:t>0,070 ש"ח.  בבעלותו של המבקש נותרה חברת ה</w:t>
      </w:r>
      <w:r w:rsidR="009F2405">
        <w:rPr>
          <w:rFonts w:hint="cs"/>
          <w:rtl/>
        </w:rPr>
        <w:t>....</w:t>
      </w:r>
      <w:r w:rsidR="000910CF">
        <w:rPr>
          <w:rFonts w:hint="cs"/>
          <w:rtl/>
        </w:rPr>
        <w:t>, בית המגורים המש</w:t>
      </w:r>
      <w:r w:rsidR="00C24DB7">
        <w:rPr>
          <w:rFonts w:hint="cs"/>
          <w:rtl/>
        </w:rPr>
        <w:t xml:space="preserve">ותף ברחוב </w:t>
      </w:r>
      <w:r w:rsidR="00E56DBE">
        <w:t xml:space="preserve">….. </w:t>
      </w:r>
      <w:r w:rsidR="00C24DB7">
        <w:rPr>
          <w:rFonts w:hint="cs"/>
          <w:rtl/>
        </w:rPr>
        <w:t xml:space="preserve"> ו</w:t>
      </w:r>
      <w:r w:rsidR="009724B1">
        <w:rPr>
          <w:rFonts w:hint="cs"/>
          <w:rtl/>
        </w:rPr>
        <w:t xml:space="preserve">נכס בשכונת </w:t>
      </w:r>
      <w:r w:rsidR="00E56DBE">
        <w:rPr>
          <w:rFonts w:hint="cs"/>
          <w:rtl/>
        </w:rPr>
        <w:t>....</w:t>
      </w:r>
      <w:r w:rsidR="00C24DB7">
        <w:rPr>
          <w:rFonts w:hint="cs"/>
          <w:rtl/>
        </w:rPr>
        <w:t xml:space="preserve">. </w:t>
      </w:r>
    </w:p>
    <w:p w:rsidR="0010047E" w:rsidRDefault="0010047E" w:rsidP="0010047E">
      <w:pPr>
        <w:pStyle w:val="ad"/>
        <w:rPr>
          <w:rtl/>
        </w:rPr>
      </w:pPr>
    </w:p>
    <w:p w:rsidR="0010047E" w:rsidRDefault="0010047E" w:rsidP="0019250C">
      <w:pPr>
        <w:pStyle w:val="ad"/>
        <w:numPr>
          <w:ilvl w:val="0"/>
          <w:numId w:val="1"/>
        </w:numPr>
        <w:spacing w:line="360" w:lineRule="auto"/>
        <w:jc w:val="both"/>
      </w:pPr>
      <w:r>
        <w:rPr>
          <w:rFonts w:hint="cs"/>
          <w:rtl/>
        </w:rPr>
        <w:lastRenderedPageBreak/>
        <w:t>בכתב התביעה טוען המבקש כי יש להורות למשיבה להשיב לידיו מחצית הוצאות שהו</w:t>
      </w:r>
      <w:r w:rsidR="0019250C">
        <w:rPr>
          <w:rFonts w:hint="cs"/>
          <w:rtl/>
        </w:rPr>
        <w:t xml:space="preserve">צאו על ידו החל מחודש יולי 2021 ועד לחודש נובמבר 2022 בסך של 95,000 </w:t>
      </w:r>
      <w:r w:rsidR="008B7008">
        <w:rPr>
          <w:rFonts w:hint="cs"/>
          <w:rtl/>
        </w:rPr>
        <w:t>ש"ח</w:t>
      </w:r>
      <w:r w:rsidR="0019250C">
        <w:rPr>
          <w:rFonts w:hint="cs"/>
          <w:rtl/>
        </w:rPr>
        <w:t xml:space="preserve">, לשאת במזונות הקטינים בסך 5,600 ש"ח  לחודש, וכן במחצית הוצאות חינוך ובריאות. </w:t>
      </w:r>
    </w:p>
    <w:p w:rsidR="008B7008" w:rsidRDefault="008B7008" w:rsidP="008B7008">
      <w:pPr>
        <w:pStyle w:val="ad"/>
        <w:rPr>
          <w:rtl/>
        </w:rPr>
      </w:pPr>
    </w:p>
    <w:p w:rsidR="008B7008" w:rsidRDefault="00845BF1" w:rsidP="00E56DBE">
      <w:pPr>
        <w:pStyle w:val="ad"/>
        <w:numPr>
          <w:ilvl w:val="0"/>
          <w:numId w:val="1"/>
        </w:numPr>
        <w:spacing w:line="360" w:lineRule="auto"/>
        <w:jc w:val="both"/>
      </w:pPr>
      <w:r>
        <w:rPr>
          <w:rFonts w:hint="cs"/>
          <w:rtl/>
        </w:rPr>
        <w:t>אין מחלוקת כי החל מחודש אפריל  2021 לערך נמצאים הילדים עיקר הזמן אצל המבקש</w:t>
      </w:r>
      <w:r w:rsidR="007A7DCC">
        <w:rPr>
          <w:rFonts w:hint="cs"/>
          <w:rtl/>
        </w:rPr>
        <w:t xml:space="preserve">. ביום 20.3.22 ניתן תוקף של החלטה להסכמות הצדדים  בעניין קצבת הנכות של הבן </w:t>
      </w:r>
      <w:r w:rsidR="00E56DBE">
        <w:rPr>
          <w:rFonts w:hint="cs"/>
          <w:rtl/>
        </w:rPr>
        <w:t>...</w:t>
      </w:r>
      <w:r w:rsidR="007A7DCC">
        <w:rPr>
          <w:rFonts w:hint="cs"/>
          <w:rtl/>
        </w:rPr>
        <w:t xml:space="preserve">. בהתאם </w:t>
      </w:r>
      <w:r w:rsidR="00DC5D28">
        <w:rPr>
          <w:rFonts w:hint="cs"/>
          <w:rtl/>
        </w:rPr>
        <w:t>לאותה הסכמה ייפתח חשבון ייעודי</w:t>
      </w:r>
      <w:r w:rsidR="007A7DCC">
        <w:rPr>
          <w:rFonts w:hint="cs"/>
          <w:rtl/>
        </w:rPr>
        <w:t xml:space="preserve"> אליו תופקד הקצבה, אשר תשמש עבור מלוא הוצאות הבריאות ש</w:t>
      </w:r>
      <w:r w:rsidR="00E56DBE">
        <w:rPr>
          <w:rFonts w:hint="cs"/>
          <w:rtl/>
        </w:rPr>
        <w:t>....</w:t>
      </w:r>
      <w:r w:rsidR="007A7DCC">
        <w:rPr>
          <w:rFonts w:hint="cs"/>
          <w:rtl/>
        </w:rPr>
        <w:t xml:space="preserve"> זקוק להן. </w:t>
      </w:r>
      <w:r w:rsidR="00164950">
        <w:rPr>
          <w:rFonts w:hint="cs"/>
          <w:rtl/>
        </w:rPr>
        <w:t xml:space="preserve"> ביום 9.5.22 ניתנה החלטה המורה כי האב ישמש הורה מרכז, ולאם זכות לצפות בפרטי חשבון הבנק שייפתח ובפעולות באותו חשבון. </w:t>
      </w:r>
      <w:r w:rsidR="007E18FF">
        <w:rPr>
          <w:rFonts w:hint="cs"/>
          <w:rtl/>
        </w:rPr>
        <w:t xml:space="preserve"> ביום 31.10.22 ניתנה החלטה בעניין השתתפות בהוצאות אשר מפנה את הצדדים להוראות הסכם הגירושין שבו </w:t>
      </w:r>
      <w:r w:rsidR="006A5E83">
        <w:rPr>
          <w:rFonts w:hint="cs"/>
          <w:rtl/>
        </w:rPr>
        <w:t xml:space="preserve">התייחסות גם לעניין זה. </w:t>
      </w:r>
      <w:r w:rsidR="00220F10">
        <w:rPr>
          <w:rFonts w:hint="cs"/>
          <w:rtl/>
        </w:rPr>
        <w:t xml:space="preserve">ביום </w:t>
      </w:r>
      <w:r w:rsidR="00B31EF8">
        <w:rPr>
          <w:rFonts w:hint="cs"/>
          <w:rtl/>
        </w:rPr>
        <w:t>21.</w:t>
      </w:r>
      <w:r w:rsidR="00220F10">
        <w:rPr>
          <w:rFonts w:hint="cs"/>
          <w:rtl/>
        </w:rPr>
        <w:t xml:space="preserve">3.23 ניתנה החלטה המורה כי החל ממועד הפרידה (14.4.21) </w:t>
      </w:r>
      <w:r w:rsidR="001E6B08">
        <w:rPr>
          <w:rFonts w:hint="cs"/>
          <w:rtl/>
        </w:rPr>
        <w:t xml:space="preserve">יופסק החיוב בדמי מזונות הקטינים השוטפים, וההוצאות  החריגות ישולמו בהתאם להוראות הסכם הגירושין. </w:t>
      </w:r>
      <w:r w:rsidR="00B31EF8">
        <w:rPr>
          <w:rFonts w:hint="cs"/>
          <w:rtl/>
        </w:rPr>
        <w:t xml:space="preserve"> </w:t>
      </w:r>
    </w:p>
    <w:p w:rsidR="00237561" w:rsidRDefault="00237561" w:rsidP="00237561">
      <w:pPr>
        <w:pStyle w:val="ad"/>
        <w:rPr>
          <w:rtl/>
        </w:rPr>
      </w:pPr>
    </w:p>
    <w:p w:rsidR="00237561" w:rsidRDefault="003C0FCE" w:rsidP="00B31EF8">
      <w:pPr>
        <w:pStyle w:val="ad"/>
        <w:numPr>
          <w:ilvl w:val="0"/>
          <w:numId w:val="1"/>
        </w:numPr>
        <w:spacing w:line="360" w:lineRule="auto"/>
        <w:jc w:val="both"/>
      </w:pPr>
      <w:r>
        <w:rPr>
          <w:rFonts w:hint="cs"/>
          <w:rtl/>
        </w:rPr>
        <w:t xml:space="preserve">במסגרת  הבקשה למזונות זמניים טוען המבקש כי הוא קורס כלכלית, כי המשיבה אינה נושאת כלל בצורכי הילדים, ואינה מקיימת עימם זמני שהות, ואף פועלת לגביית דמי המזונות חרף החלטה על הקפאתם. </w:t>
      </w:r>
    </w:p>
    <w:p w:rsidR="006A0850" w:rsidRDefault="006A0850" w:rsidP="006A0850">
      <w:pPr>
        <w:pStyle w:val="ad"/>
        <w:rPr>
          <w:rtl/>
        </w:rPr>
      </w:pPr>
    </w:p>
    <w:p w:rsidR="006A0850" w:rsidRDefault="006A0850" w:rsidP="00BF79F7">
      <w:pPr>
        <w:pStyle w:val="ad"/>
        <w:numPr>
          <w:ilvl w:val="0"/>
          <w:numId w:val="1"/>
        </w:numPr>
        <w:spacing w:line="360" w:lineRule="auto"/>
        <w:jc w:val="both"/>
      </w:pPr>
      <w:r>
        <w:rPr>
          <w:rFonts w:hint="cs"/>
          <w:rtl/>
        </w:rPr>
        <w:t>המשיבה הגישה תגובה. לדבריה, דין הבקשה להידחות. המשיבה טוענת ראשית כי לבקשה לא צורפו מסמכים ואסמכתאות</w:t>
      </w:r>
      <w:r w:rsidR="00703777">
        <w:rPr>
          <w:rFonts w:hint="cs"/>
          <w:rtl/>
        </w:rPr>
        <w:t xml:space="preserve">. מוסיפה וטוענת כי ניתוק הקשר בינה לבין הילדים קשור במבקש ובמסרים מסיתים שהוא מעביר לילדים. </w:t>
      </w:r>
      <w:r w:rsidR="00174013">
        <w:rPr>
          <w:rFonts w:hint="cs"/>
          <w:rtl/>
        </w:rPr>
        <w:t xml:space="preserve"> עוד טוענת כי במסגרת  הסכם הגירושין ויתרה על זכויות רבות שאותן אמורה לקבל, לרבות זכויות מהעסק המשותף שנותר בבעלות המבקש</w:t>
      </w:r>
      <w:r w:rsidR="00A937AF">
        <w:rPr>
          <w:rFonts w:hint="cs"/>
          <w:rtl/>
        </w:rPr>
        <w:t xml:space="preserve">, ובאופן כללי סבורה כי אין ליתן למבקש פרס על התנהגותו הנלוזה. </w:t>
      </w:r>
      <w:r w:rsidR="00B147F3">
        <w:rPr>
          <w:rFonts w:hint="cs"/>
          <w:rtl/>
        </w:rPr>
        <w:t xml:space="preserve"> המשיבה מפנה לרכושו של המבקש כולל דמי שכירות שהוא  מקבל מדירה נוספת, מפנה לרמת החיים הגבוהה, העובדה כי המבקש מתגורר בדירה מפוארת</w:t>
      </w:r>
      <w:r w:rsidR="00BF79F7">
        <w:rPr>
          <w:rFonts w:hint="cs"/>
          <w:rtl/>
        </w:rPr>
        <w:t>, משתמש ברכב יוקרה, נוסע פעמים רבות לחופשות בחו"ל ועוד.</w:t>
      </w:r>
    </w:p>
    <w:p w:rsidR="00BF79F7" w:rsidRDefault="00BF79F7" w:rsidP="00BF79F7">
      <w:pPr>
        <w:pStyle w:val="ad"/>
        <w:rPr>
          <w:rtl/>
        </w:rPr>
      </w:pPr>
    </w:p>
    <w:p w:rsidR="00BF79F7" w:rsidRDefault="00C84347" w:rsidP="00BF79F7">
      <w:pPr>
        <w:pStyle w:val="ad"/>
        <w:numPr>
          <w:ilvl w:val="0"/>
          <w:numId w:val="1"/>
        </w:numPr>
        <w:spacing w:line="360" w:lineRule="auto"/>
        <w:jc w:val="both"/>
      </w:pPr>
      <w:r>
        <w:rPr>
          <w:rFonts w:hint="cs"/>
          <w:rtl/>
        </w:rPr>
        <w:t xml:space="preserve">היום בדיון שמעתי את טענות הצדדים בפניי בהרחבה. למרבה הצער גם דיון זה, כמו דיונים רבים לפניו,  היה מאופיין בהתפרצויות רבות מצד הצדדים ובאי כוחם, עד כדי כך שנאלצתי לקטוע את הדיון תוך כדי מתן החלטה. </w:t>
      </w:r>
    </w:p>
    <w:p w:rsidR="00594757" w:rsidRDefault="00594757" w:rsidP="00594757">
      <w:pPr>
        <w:pStyle w:val="ad"/>
        <w:rPr>
          <w:rtl/>
        </w:rPr>
      </w:pPr>
    </w:p>
    <w:p w:rsidR="00594757" w:rsidRDefault="00594757" w:rsidP="00BF79F7">
      <w:pPr>
        <w:pStyle w:val="ad"/>
        <w:numPr>
          <w:ilvl w:val="0"/>
          <w:numId w:val="1"/>
        </w:numPr>
        <w:spacing w:line="360" w:lineRule="auto"/>
        <w:jc w:val="both"/>
      </w:pPr>
      <w:r>
        <w:rPr>
          <w:rFonts w:hint="cs"/>
          <w:rtl/>
        </w:rPr>
        <w:t xml:space="preserve">דברים אלו נאמרים על רקע העובדה הפשוטה כי להתרשמותי הקשר הרופף שבין האם וילדיה נגרם וקשור באופן ישיר להתנהגותם של שני הצדדים, אשר שניהם אינם מסוגלים להפריד בין הסכסוך האישי הפרטי בינם לבין עצמם, לבין טובת ילדיהם הקטינים.  שני הצדדים מושכים את הילדים כל אחד לכיוונו, עד אשר למרבה הצער הילדים נאלצים לבחור. </w:t>
      </w:r>
    </w:p>
    <w:p w:rsidR="00B97462" w:rsidRDefault="00B97462" w:rsidP="00B97462">
      <w:pPr>
        <w:pStyle w:val="ad"/>
        <w:rPr>
          <w:rtl/>
        </w:rPr>
      </w:pPr>
    </w:p>
    <w:p w:rsidR="00B97462" w:rsidRDefault="00086D23" w:rsidP="00BF79F7">
      <w:pPr>
        <w:pStyle w:val="ad"/>
        <w:numPr>
          <w:ilvl w:val="0"/>
          <w:numId w:val="1"/>
        </w:numPr>
        <w:spacing w:line="360" w:lineRule="auto"/>
        <w:jc w:val="both"/>
      </w:pPr>
      <w:r>
        <w:rPr>
          <w:rFonts w:hint="cs"/>
          <w:rtl/>
        </w:rPr>
        <w:t>כך גם בכל הנוגע לבקשה זו, כאשר זמן רב הוקדש לצורך ניסיון להביא הצדדים להסכמות</w:t>
      </w:r>
      <w:r w:rsidR="00EC3AF5">
        <w:rPr>
          <w:rFonts w:hint="cs"/>
          <w:rtl/>
        </w:rPr>
        <w:t xml:space="preserve"> אשר לטעמי היו מייתרות את שמיעת כלל הטענות, ולמעשה מותירות את שני ההורים פנויים להקדיש את מלוא הזמן והמרץ להליך הטיפולי ולחידוש הקשר, במקום לסוגיית המזונות</w:t>
      </w:r>
      <w:r w:rsidR="00F66446">
        <w:rPr>
          <w:rFonts w:hint="cs"/>
          <w:rtl/>
        </w:rPr>
        <w:t xml:space="preserve">, לבטח סוגיית המזונות הזמניים, אשר להתרשמותי מהווה "כלי ניגוח" ואין בה כל ממש, כפי שמיד אבהיר. </w:t>
      </w:r>
    </w:p>
    <w:p w:rsidR="00B84509" w:rsidRDefault="00B84509" w:rsidP="00B84509">
      <w:pPr>
        <w:pStyle w:val="ad"/>
        <w:rPr>
          <w:rtl/>
        </w:rPr>
      </w:pPr>
    </w:p>
    <w:p w:rsidR="00B84509" w:rsidRPr="00B84509" w:rsidRDefault="00B84509" w:rsidP="00B84509">
      <w:pPr>
        <w:pStyle w:val="ad"/>
        <w:numPr>
          <w:ilvl w:val="0"/>
          <w:numId w:val="1"/>
        </w:numPr>
        <w:spacing w:line="360" w:lineRule="auto"/>
        <w:jc w:val="both"/>
      </w:pPr>
      <w:r>
        <w:rPr>
          <w:rFonts w:hint="cs"/>
          <w:rtl/>
        </w:rPr>
        <w:t xml:space="preserve">כידוע, תכליתם של דמי מזונות  זמניים למנוע חרפת רעב וליתן בידי הזכאי סעד זמני דחוף, אשר ישמש אותו עד לבירור מלוא הטענות וגילוי התמונה הכוללת.   </w:t>
      </w:r>
      <w:r>
        <w:rPr>
          <w:rtl/>
        </w:rPr>
        <w:t>מדובר בסעד זמני הניתן לפי שיקול דעתו של בית המשפט להבטחת קיומו של הזכאי למזונות עד שתתברר תביעתו. קביעת דמי המזונות נעשית בלי להיכנס לעובי הקורה, דבר שיעשה במהלך בירור המשפט ושמיעת ראיות הצדדים. קביעת צרכיהם של הקטינים, כמו גם יכולתו של האב, תעשה בזהירות רבה (ע"א 342/83 פד"י ל"ח (4) 105, ע"א 542/68 פד"י כ"ג (1) 169, ע"א 324/88 פד"י מ"ב (3) 347).</w:t>
      </w:r>
      <w:r w:rsidRPr="00B84509">
        <w:rPr>
          <w:rFonts w:ascii="Arial" w:hAnsi="Arial" w:cs="Arial"/>
        </w:rPr>
        <w:t xml:space="preserve"> </w:t>
      </w:r>
      <w:r>
        <w:rPr>
          <w:rtl/>
        </w:rPr>
        <w:t xml:space="preserve">פסיקת המזונות נערכת בשלב מקדמי זה על דרך האומדן ועל פי ניסיון החיים של השופט היושב בדין (ע"א 687/83 </w:t>
      </w:r>
      <w:r w:rsidRPr="00B84509">
        <w:rPr>
          <w:b/>
          <w:bCs/>
          <w:rtl/>
        </w:rPr>
        <w:t>מזור</w:t>
      </w:r>
      <w:r>
        <w:rPr>
          <w:rtl/>
        </w:rPr>
        <w:t xml:space="preserve">, ל"ח (3) 29, ע"א 93/85 </w:t>
      </w:r>
      <w:r w:rsidRPr="00B84509">
        <w:rPr>
          <w:b/>
          <w:bCs/>
          <w:rtl/>
        </w:rPr>
        <w:t>שגב</w:t>
      </w:r>
      <w:r>
        <w:rPr>
          <w:rtl/>
        </w:rPr>
        <w:t>, פ"ד ל"ט (3) 822). המטרה היא לספק לקטין רמת חיים נאותה אליו הורגל ולגביהם, צריך ביהמ"ש לשקול בין יתר שיקוליו גם את השתכרותה של האם וגם את השתכרותו של האב (</w:t>
      </w:r>
      <w:hyperlink r:id="rId8" w:history="1">
        <w:r w:rsidRPr="00B84509">
          <w:rPr>
            <w:rStyle w:val="Hyperlink"/>
            <w:rtl/>
          </w:rPr>
          <w:t>בע"מ 5750/03</w:t>
        </w:r>
      </w:hyperlink>
      <w:r>
        <w:rPr>
          <w:rtl/>
        </w:rPr>
        <w:t xml:space="preserve"> </w:t>
      </w:r>
      <w:r w:rsidRPr="00B84509">
        <w:rPr>
          <w:b/>
          <w:bCs/>
          <w:rtl/>
        </w:rPr>
        <w:t>אוחנה נ' אוחנה</w:t>
      </w:r>
      <w:r>
        <w:rPr>
          <w:rtl/>
        </w:rPr>
        <w:t xml:space="preserve">, [פורסם במאגרים המקוונים]; </w:t>
      </w:r>
      <w:hyperlink r:id="rId9" w:history="1">
        <w:r w:rsidRPr="00B84509">
          <w:rPr>
            <w:rStyle w:val="Hyperlink"/>
            <w:rtl/>
          </w:rPr>
          <w:t xml:space="preserve">בע"מ 2433/04 </w:t>
        </w:r>
        <w:r w:rsidRPr="00B84509">
          <w:rPr>
            <w:rStyle w:val="Hyperlink"/>
            <w:b/>
            <w:bCs/>
            <w:rtl/>
          </w:rPr>
          <w:t xml:space="preserve">צינובוי נ' צינובוי </w:t>
        </w:r>
        <w:r w:rsidRPr="00B84509">
          <w:rPr>
            <w:rStyle w:val="Hyperlink"/>
            <w:rtl/>
          </w:rPr>
          <w:t xml:space="preserve">[פורסם במאגרים המקוונים] ע"א 180/80 </w:t>
        </w:r>
        <w:r w:rsidRPr="00B84509">
          <w:rPr>
            <w:rStyle w:val="Hyperlink"/>
            <w:b/>
            <w:bCs/>
            <w:rtl/>
          </w:rPr>
          <w:t>תמיר נ' תמיר</w:t>
        </w:r>
        <w:r w:rsidRPr="00B84509">
          <w:rPr>
            <w:rStyle w:val="Hyperlink"/>
            <w:rtl/>
          </w:rPr>
          <w:t>, פ"ד לד</w:t>
        </w:r>
      </w:hyperlink>
      <w:r>
        <w:rPr>
          <w:rtl/>
        </w:rPr>
        <w:t xml:space="preserve">(4) 499 (1980), </w:t>
      </w:r>
      <w:hyperlink r:id="rId10" w:history="1">
        <w:r w:rsidRPr="00B84509">
          <w:rPr>
            <w:rStyle w:val="Hyperlink"/>
            <w:rtl/>
          </w:rPr>
          <w:t xml:space="preserve">ע"א 302/80 </w:t>
        </w:r>
        <w:r w:rsidRPr="00B84509">
          <w:rPr>
            <w:rStyle w:val="Hyperlink"/>
            <w:b/>
            <w:bCs/>
            <w:rtl/>
          </w:rPr>
          <w:t>אגלזיאס נ' אגלזיאס</w:t>
        </w:r>
        <w:r w:rsidRPr="00B84509">
          <w:rPr>
            <w:rStyle w:val="Hyperlink"/>
            <w:rtl/>
          </w:rPr>
          <w:t>, פ"ד לד</w:t>
        </w:r>
      </w:hyperlink>
      <w:r>
        <w:rPr>
          <w:rtl/>
        </w:rPr>
        <w:t xml:space="preserve">(4)529 (1980). </w:t>
      </w:r>
    </w:p>
    <w:p w:rsidR="00B84509" w:rsidRDefault="00B84509" w:rsidP="00B84509">
      <w:pPr>
        <w:pStyle w:val="ad"/>
        <w:spacing w:line="360" w:lineRule="auto"/>
        <w:jc w:val="both"/>
      </w:pPr>
    </w:p>
    <w:p w:rsidR="00B45F7C" w:rsidRDefault="00B45F7C" w:rsidP="00B45F7C">
      <w:pPr>
        <w:pStyle w:val="ad"/>
        <w:rPr>
          <w:rtl/>
        </w:rPr>
      </w:pPr>
    </w:p>
    <w:p w:rsidR="00B45F7C" w:rsidRDefault="00B45F7C" w:rsidP="00BF79F7">
      <w:pPr>
        <w:pStyle w:val="ad"/>
        <w:numPr>
          <w:ilvl w:val="0"/>
          <w:numId w:val="1"/>
        </w:numPr>
        <w:spacing w:line="360" w:lineRule="auto"/>
        <w:jc w:val="both"/>
      </w:pPr>
      <w:r>
        <w:rPr>
          <w:rFonts w:hint="cs"/>
          <w:rtl/>
        </w:rPr>
        <w:t xml:space="preserve">כאמור, מדובר בבקשה  למזונות זמניים אשר ניתנת על בסיס נתונים חלקיים, ומן הסתם ככל שלא יעלה בידי הצדדים להגיע להבנות יתבררו כלל הנתונים במסגרת  שמיעת הראיות. </w:t>
      </w:r>
    </w:p>
    <w:p w:rsidR="00F66446" w:rsidRDefault="00F66446" w:rsidP="00F66446">
      <w:pPr>
        <w:pStyle w:val="ad"/>
        <w:rPr>
          <w:rtl/>
        </w:rPr>
      </w:pPr>
    </w:p>
    <w:p w:rsidR="00F66446" w:rsidRPr="00B84509" w:rsidRDefault="00B84509" w:rsidP="00B84509">
      <w:pPr>
        <w:pStyle w:val="ad"/>
        <w:numPr>
          <w:ilvl w:val="0"/>
          <w:numId w:val="1"/>
        </w:numPr>
        <w:spacing w:line="360" w:lineRule="auto"/>
        <w:jc w:val="both"/>
        <w:rPr>
          <w:b/>
          <w:bCs/>
          <w:u w:val="single"/>
        </w:rPr>
      </w:pPr>
      <w:r>
        <w:rPr>
          <w:rFonts w:hint="cs"/>
          <w:rtl/>
        </w:rPr>
        <w:t xml:space="preserve">לצורך בחינת טענות הצדדים, נפנה להוראות </w:t>
      </w:r>
      <w:r w:rsidR="00DF2E81">
        <w:rPr>
          <w:rFonts w:hint="cs"/>
          <w:rtl/>
        </w:rPr>
        <w:t xml:space="preserve">הסכם </w:t>
      </w:r>
      <w:r>
        <w:rPr>
          <w:rFonts w:hint="cs"/>
          <w:rtl/>
        </w:rPr>
        <w:t xml:space="preserve">הגירושין </w:t>
      </w:r>
      <w:r w:rsidR="00DF2E81">
        <w:rPr>
          <w:rFonts w:hint="cs"/>
          <w:rtl/>
        </w:rPr>
        <w:t>עליו חתמו הצדדים</w:t>
      </w:r>
      <w:r>
        <w:rPr>
          <w:rFonts w:hint="cs"/>
          <w:rtl/>
        </w:rPr>
        <w:t xml:space="preserve">, </w:t>
      </w:r>
      <w:r w:rsidR="00DF2E81">
        <w:rPr>
          <w:rFonts w:hint="cs"/>
          <w:rtl/>
        </w:rPr>
        <w:t xml:space="preserve">הסכם שכזכור קיבל תוקף של פסק דין.  </w:t>
      </w:r>
      <w:r w:rsidR="00DF2E81" w:rsidRPr="00B84509">
        <w:rPr>
          <w:rFonts w:hint="cs"/>
          <w:b/>
          <w:bCs/>
          <w:u w:val="single"/>
          <w:rtl/>
        </w:rPr>
        <w:t>בהסכם זה, כאמור לעיל, נקבעו זמני שהות שווים, ולמרות זאת התחייב המבקש לשלם למשיבה דמי מזונות בסך 5,000 ש"ח  לחודש</w:t>
      </w:r>
      <w:r w:rsidR="00F9653F" w:rsidRPr="00B84509">
        <w:rPr>
          <w:rFonts w:hint="cs"/>
          <w:b/>
          <w:bCs/>
          <w:u w:val="single"/>
          <w:rtl/>
        </w:rPr>
        <w:t>, וכן הסכים כי המשיבה תקבל לידיה את כלל הקצבאות  מאת המוסד לביטוח לאומי.  ההסכם נערך שעה ששני הצדדים מיוצגים, לאחר מספר</w:t>
      </w:r>
      <w:r w:rsidR="0023605C" w:rsidRPr="00B84509">
        <w:rPr>
          <w:rFonts w:hint="cs"/>
          <w:b/>
          <w:bCs/>
          <w:u w:val="single"/>
          <w:rtl/>
        </w:rPr>
        <w:t xml:space="preserve"> הליכים שהתקיימו, ומן הסתם</w:t>
      </w:r>
      <w:r w:rsidR="00F9653F" w:rsidRPr="00B84509">
        <w:rPr>
          <w:rFonts w:hint="cs"/>
          <w:b/>
          <w:bCs/>
          <w:u w:val="single"/>
          <w:rtl/>
        </w:rPr>
        <w:t xml:space="preserve"> כאשר שני הצדדים מודעים לכלל הסיכויים והסיכונים.</w:t>
      </w:r>
    </w:p>
    <w:p w:rsidR="00B45F7C" w:rsidRDefault="00B45F7C" w:rsidP="00B45F7C">
      <w:pPr>
        <w:pStyle w:val="ad"/>
        <w:rPr>
          <w:rtl/>
        </w:rPr>
      </w:pPr>
    </w:p>
    <w:p w:rsidR="00B84509" w:rsidRDefault="00B45F7C" w:rsidP="00B84509">
      <w:pPr>
        <w:pStyle w:val="ad"/>
        <w:numPr>
          <w:ilvl w:val="0"/>
          <w:numId w:val="1"/>
        </w:numPr>
        <w:spacing w:line="360" w:lineRule="auto"/>
        <w:jc w:val="both"/>
      </w:pPr>
      <w:r>
        <w:rPr>
          <w:rFonts w:hint="cs"/>
          <w:rtl/>
        </w:rPr>
        <w:t>משמעות התחייבותו של המבקש בהסכם הגירושין, הינה כי ה</w:t>
      </w:r>
      <w:r w:rsidR="00076C71">
        <w:rPr>
          <w:rFonts w:hint="cs"/>
          <w:rtl/>
        </w:rPr>
        <w:t xml:space="preserve">וא עצמו סבור כי </w:t>
      </w:r>
      <w:r w:rsidR="00B84509">
        <w:rPr>
          <w:rFonts w:hint="cs"/>
          <w:rtl/>
        </w:rPr>
        <w:t xml:space="preserve">מצבו הכלכלי, והפער לעומת מצבה הכלכלי של המשיבה, הנו כזה, אשר מאפשר ומצדיק, </w:t>
      </w:r>
      <w:r>
        <w:rPr>
          <w:rFonts w:hint="cs"/>
          <w:rtl/>
        </w:rPr>
        <w:t xml:space="preserve">לשלם למשיבה </w:t>
      </w:r>
      <w:r>
        <w:rPr>
          <w:rFonts w:hint="cs"/>
          <w:rtl/>
        </w:rPr>
        <w:lastRenderedPageBreak/>
        <w:t xml:space="preserve">דמי מזונות בסכום משמעותי וגבוה, </w:t>
      </w:r>
      <w:r w:rsidR="00076C71">
        <w:rPr>
          <w:rFonts w:hint="cs"/>
          <w:rtl/>
        </w:rPr>
        <w:t xml:space="preserve">זאת </w:t>
      </w:r>
      <w:r>
        <w:rPr>
          <w:rFonts w:hint="cs"/>
          <w:rtl/>
        </w:rPr>
        <w:t>למרות חלוקת זמני שהות שווה</w:t>
      </w:r>
      <w:r w:rsidR="00076C71">
        <w:rPr>
          <w:rFonts w:hint="cs"/>
          <w:rtl/>
        </w:rPr>
        <w:t xml:space="preserve">, ולמרות ששני הילדים מעל גיל 6.   </w:t>
      </w:r>
    </w:p>
    <w:p w:rsidR="00B84509" w:rsidRDefault="00B84509" w:rsidP="00B84509">
      <w:pPr>
        <w:pStyle w:val="ad"/>
        <w:rPr>
          <w:rtl/>
        </w:rPr>
      </w:pPr>
    </w:p>
    <w:p w:rsidR="00B45F7C" w:rsidRDefault="00B45F7C" w:rsidP="004F436D">
      <w:pPr>
        <w:pStyle w:val="ad"/>
        <w:numPr>
          <w:ilvl w:val="0"/>
          <w:numId w:val="1"/>
        </w:numPr>
        <w:spacing w:line="360" w:lineRule="auto"/>
        <w:jc w:val="both"/>
      </w:pPr>
      <w:r>
        <w:rPr>
          <w:rFonts w:hint="cs"/>
          <w:rtl/>
        </w:rPr>
        <w:t>בהינתן העובדה כי כיום שוהים הילדים מרבית הזמן אצל המבקש, ובמקביל הופסקו המזונות</w:t>
      </w:r>
      <w:r w:rsidR="00076C71">
        <w:rPr>
          <w:rFonts w:hint="cs"/>
          <w:rtl/>
        </w:rPr>
        <w:t xml:space="preserve"> </w:t>
      </w:r>
      <w:r w:rsidR="00B84509">
        <w:rPr>
          <w:rFonts w:hint="cs"/>
          <w:rtl/>
        </w:rPr>
        <w:t xml:space="preserve">השוטפים, הרי </w:t>
      </w:r>
      <w:r w:rsidR="004F436D">
        <w:rPr>
          <w:rFonts w:hint="cs"/>
          <w:rtl/>
        </w:rPr>
        <w:t xml:space="preserve">שמידי חודש </w:t>
      </w:r>
      <w:r w:rsidR="00076C71">
        <w:rPr>
          <w:rFonts w:hint="cs"/>
          <w:rtl/>
        </w:rPr>
        <w:t xml:space="preserve">"נחסך" מהמבקש </w:t>
      </w:r>
      <w:r w:rsidR="004F436D">
        <w:rPr>
          <w:rFonts w:hint="cs"/>
          <w:rtl/>
        </w:rPr>
        <w:t xml:space="preserve">תשלום בסך של </w:t>
      </w:r>
      <w:r>
        <w:rPr>
          <w:rFonts w:hint="cs"/>
          <w:rtl/>
        </w:rPr>
        <w:t xml:space="preserve"> 5,000 ש"ח</w:t>
      </w:r>
      <w:r w:rsidR="004F436D">
        <w:rPr>
          <w:rFonts w:hint="cs"/>
          <w:rtl/>
        </w:rPr>
        <w:t xml:space="preserve">. </w:t>
      </w:r>
      <w:r w:rsidR="00076C71">
        <w:rPr>
          <w:rFonts w:hint="cs"/>
          <w:rtl/>
        </w:rPr>
        <w:t xml:space="preserve">בנוסף, </w:t>
      </w:r>
      <w:r>
        <w:rPr>
          <w:rFonts w:hint="cs"/>
          <w:rtl/>
        </w:rPr>
        <w:t>קצבת הנכות מועברת לידיו</w:t>
      </w:r>
      <w:r w:rsidR="004F436D">
        <w:rPr>
          <w:rFonts w:hint="cs"/>
          <w:rtl/>
        </w:rPr>
        <w:t xml:space="preserve">.  השאלה, </w:t>
      </w:r>
      <w:r>
        <w:rPr>
          <w:rFonts w:hint="cs"/>
          <w:rtl/>
        </w:rPr>
        <w:t>האם</w:t>
      </w:r>
      <w:r w:rsidR="00076C71">
        <w:rPr>
          <w:rFonts w:hint="cs"/>
          <w:rtl/>
        </w:rPr>
        <w:t>,</w:t>
      </w:r>
      <w:r>
        <w:rPr>
          <w:rFonts w:hint="cs"/>
          <w:rtl/>
        </w:rPr>
        <w:t xml:space="preserve"> בנוסף</w:t>
      </w:r>
      <w:r w:rsidR="00076C71">
        <w:rPr>
          <w:rFonts w:hint="cs"/>
          <w:rtl/>
        </w:rPr>
        <w:t>,</w:t>
      </w:r>
      <w:r>
        <w:rPr>
          <w:rFonts w:hint="cs"/>
          <w:rtl/>
        </w:rPr>
        <w:t xml:space="preserve"> יש מקום לחייב את המשיבה בתשלום סכומים נוספים, כדמי מזונות </w:t>
      </w:r>
      <w:r w:rsidRPr="004F436D">
        <w:rPr>
          <w:rFonts w:hint="cs"/>
          <w:b/>
          <w:bCs/>
          <w:u w:val="single"/>
          <w:rtl/>
        </w:rPr>
        <w:t>זמניים</w:t>
      </w:r>
      <w:r w:rsidR="004F436D">
        <w:rPr>
          <w:rFonts w:hint="cs"/>
          <w:b/>
          <w:bCs/>
          <w:u w:val="single"/>
          <w:rtl/>
        </w:rPr>
        <w:t>.</w:t>
      </w:r>
      <w:r w:rsidR="004F436D" w:rsidRPr="004F436D">
        <w:rPr>
          <w:rFonts w:hint="cs"/>
          <w:b/>
          <w:bCs/>
          <w:rtl/>
        </w:rPr>
        <w:t xml:space="preserve"> </w:t>
      </w:r>
      <w:r w:rsidR="004F436D" w:rsidRPr="004F436D">
        <w:rPr>
          <w:rFonts w:hint="cs"/>
          <w:rtl/>
        </w:rPr>
        <w:t xml:space="preserve"> </w:t>
      </w:r>
      <w:r w:rsidR="004F436D">
        <w:rPr>
          <w:rFonts w:hint="cs"/>
          <w:rtl/>
        </w:rPr>
        <w:t xml:space="preserve"> </w:t>
      </w:r>
      <w:r>
        <w:rPr>
          <w:rFonts w:hint="cs"/>
          <w:rtl/>
        </w:rPr>
        <w:t xml:space="preserve">התשובה לטעמי בשלילה.  </w:t>
      </w:r>
    </w:p>
    <w:p w:rsidR="00076C71" w:rsidRDefault="00076C71" w:rsidP="00076C71">
      <w:pPr>
        <w:pStyle w:val="ad"/>
        <w:rPr>
          <w:rtl/>
        </w:rPr>
      </w:pPr>
    </w:p>
    <w:p w:rsidR="00B45F7C" w:rsidRDefault="00B45F7C" w:rsidP="004F436D">
      <w:pPr>
        <w:pStyle w:val="ad"/>
        <w:numPr>
          <w:ilvl w:val="0"/>
          <w:numId w:val="1"/>
        </w:numPr>
        <w:spacing w:line="360" w:lineRule="auto"/>
        <w:jc w:val="both"/>
      </w:pPr>
      <w:r>
        <w:rPr>
          <w:rFonts w:hint="cs"/>
          <w:rtl/>
        </w:rPr>
        <w:t xml:space="preserve">אמנם נכון כי במסגרת  הסכם הגירושין </w:t>
      </w:r>
      <w:r w:rsidR="004F436D">
        <w:rPr>
          <w:rFonts w:hint="cs"/>
          <w:rtl/>
        </w:rPr>
        <w:t xml:space="preserve">[שנחתם לפני זמן לא רב], </w:t>
      </w:r>
      <w:r>
        <w:rPr>
          <w:rFonts w:hint="cs"/>
          <w:rtl/>
        </w:rPr>
        <w:t xml:space="preserve">קיבלה המשיבה סכומי כסף משמעותיים, ואולם גם המבקש נותר כאשר רכוש רב בידו, עסק משגשג ושני נכסי נדל"ן. </w:t>
      </w:r>
      <w:r w:rsidR="00E8341E">
        <w:rPr>
          <w:rFonts w:hint="cs"/>
          <w:rtl/>
        </w:rPr>
        <w:t xml:space="preserve">למעשה, </w:t>
      </w:r>
      <w:r>
        <w:rPr>
          <w:rFonts w:hint="cs"/>
          <w:rtl/>
        </w:rPr>
        <w:t xml:space="preserve">מלבד שינוי זמני השהות, </w:t>
      </w:r>
      <w:r w:rsidR="00E8341E">
        <w:rPr>
          <w:rFonts w:hint="cs"/>
          <w:rtl/>
        </w:rPr>
        <w:t xml:space="preserve">המבקש אינו מצביע על כל שינוי נסיבות </w:t>
      </w:r>
      <w:r>
        <w:rPr>
          <w:rFonts w:hint="cs"/>
          <w:rtl/>
        </w:rPr>
        <w:t>אחר</w:t>
      </w:r>
      <w:r w:rsidR="004F436D">
        <w:rPr>
          <w:rFonts w:hint="cs"/>
          <w:rtl/>
        </w:rPr>
        <w:t xml:space="preserve">.  </w:t>
      </w:r>
      <w:r>
        <w:rPr>
          <w:rFonts w:hint="cs"/>
          <w:rtl/>
        </w:rPr>
        <w:t>בהינתן העובדה כי המבקש הינו הבעלים של העסק, אינני סבור כי לצורך בקשה זמנית זו</w:t>
      </w:r>
      <w:r w:rsidR="004F436D">
        <w:rPr>
          <w:rFonts w:hint="cs"/>
          <w:rtl/>
        </w:rPr>
        <w:t>,</w:t>
      </w:r>
      <w:r>
        <w:rPr>
          <w:rFonts w:hint="cs"/>
          <w:rtl/>
        </w:rPr>
        <w:t xml:space="preserve"> יש לקבל את תלושי השכר שצורפו לבקשה כחזות הכל, והדבר דורש בירור יסודי ומעמיק. עיון בתלוש השכר שצורף מעלה כי המבקש, כאמור בעלים של החברה, מנכה</w:t>
      </w:r>
      <w:r w:rsidR="006B5F17">
        <w:rPr>
          <w:rFonts w:hint="cs"/>
          <w:rtl/>
        </w:rPr>
        <w:t xml:space="preserve"> </w:t>
      </w:r>
      <w:r>
        <w:rPr>
          <w:rFonts w:hint="cs"/>
          <w:rtl/>
        </w:rPr>
        <w:t xml:space="preserve">משכרו ניכויי רשות רבים,  </w:t>
      </w:r>
      <w:r w:rsidR="006B5F17">
        <w:rPr>
          <w:rFonts w:hint="cs"/>
          <w:rtl/>
        </w:rPr>
        <w:t xml:space="preserve"> ועל פניו </w:t>
      </w:r>
      <w:r w:rsidR="004F436D">
        <w:rPr>
          <w:rFonts w:hint="cs"/>
          <w:rtl/>
        </w:rPr>
        <w:t>נראה כי ה</w:t>
      </w:r>
      <w:r w:rsidR="006B5F17">
        <w:rPr>
          <w:rFonts w:hint="cs"/>
          <w:rtl/>
        </w:rPr>
        <w:t>טענה ששכרו 16,000 ש"ח נטו בלבד</w:t>
      </w:r>
      <w:r w:rsidR="004F436D">
        <w:rPr>
          <w:rFonts w:hint="cs"/>
          <w:rtl/>
        </w:rPr>
        <w:t xml:space="preserve"> דורשת בירור</w:t>
      </w:r>
      <w:r w:rsidR="006B5F17">
        <w:rPr>
          <w:rFonts w:hint="cs"/>
          <w:rtl/>
        </w:rPr>
        <w:t xml:space="preserve">. </w:t>
      </w:r>
    </w:p>
    <w:p w:rsidR="00E83772" w:rsidRDefault="00E83772" w:rsidP="00E83772">
      <w:pPr>
        <w:pStyle w:val="ad"/>
        <w:rPr>
          <w:rtl/>
        </w:rPr>
      </w:pPr>
    </w:p>
    <w:p w:rsidR="00E83772" w:rsidRDefault="00E83772" w:rsidP="004F436D">
      <w:pPr>
        <w:pStyle w:val="ad"/>
        <w:numPr>
          <w:ilvl w:val="0"/>
          <w:numId w:val="1"/>
        </w:numPr>
        <w:spacing w:line="360" w:lineRule="auto"/>
        <w:jc w:val="both"/>
      </w:pPr>
      <w:r>
        <w:rPr>
          <w:rFonts w:hint="cs"/>
          <w:rtl/>
        </w:rPr>
        <w:t xml:space="preserve">בנוסף לאמור, הבאתי בחשבון את טענת המשיבה לפיה, אין ליתן למבקש פרס, בגין מעשיו, אשר תרמו לניתוק הקשר בינה לבין ילדיה.  אמנם, מדובר בטענה הדורשת בירור מעמיק, ואינני סבור כי לצורך החלטה זמנית זו יש מקום לקבוע ממצאים ומסמרות בנושא כה מהותי ורגיש, ואולם, כפי שהובהר לצדדים, לנוכח העובדה כי הילדים מבלים את עיקר הזמן אצל המבקש, הרי שיכולת ההשפעה שלו גדולה מזו של המשיבה, ומצופה ממנו לפעול בנחישות וביתר שאת, על מנת להביא לחיזוק הקשר, והפיכתו לקשר משמעותי, הכולל חלוקת זמני שהות רחבה יציבה וקבועה. הנושא יתברר לעומק, ככל הדרוש במסגרת ההליך העיקרי, אך אינני מתעלם מהטענה, ועל המבקש לקחת הדברים לתשומת לבו. </w:t>
      </w:r>
    </w:p>
    <w:p w:rsidR="00F44E58" w:rsidRDefault="00F44E58" w:rsidP="00F44E58">
      <w:pPr>
        <w:pStyle w:val="ad"/>
        <w:rPr>
          <w:rtl/>
        </w:rPr>
      </w:pPr>
    </w:p>
    <w:p w:rsidR="00F44E58" w:rsidRPr="00076C71" w:rsidRDefault="00F44E58" w:rsidP="00E83772">
      <w:pPr>
        <w:pStyle w:val="ad"/>
        <w:numPr>
          <w:ilvl w:val="0"/>
          <w:numId w:val="1"/>
        </w:numPr>
        <w:spacing w:line="360" w:lineRule="auto"/>
        <w:jc w:val="both"/>
        <w:rPr>
          <w:b/>
          <w:bCs/>
          <w:u w:val="single"/>
        </w:rPr>
      </w:pPr>
      <w:r w:rsidRPr="00076C71">
        <w:rPr>
          <w:rFonts w:hint="cs"/>
          <w:b/>
          <w:bCs/>
          <w:u w:val="single"/>
          <w:rtl/>
        </w:rPr>
        <w:t>אשר על כן</w:t>
      </w:r>
      <w:r w:rsidR="00E83772">
        <w:rPr>
          <w:rFonts w:hint="cs"/>
          <w:b/>
          <w:bCs/>
          <w:u w:val="single"/>
          <w:rtl/>
        </w:rPr>
        <w:t xml:space="preserve">, אינני מוצא </w:t>
      </w:r>
      <w:r w:rsidRPr="00076C71">
        <w:rPr>
          <w:rFonts w:hint="cs"/>
          <w:b/>
          <w:bCs/>
          <w:u w:val="single"/>
          <w:rtl/>
        </w:rPr>
        <w:t>לנכון לחייב את המשיבה לשלם למבקש דמי מזונות</w:t>
      </w:r>
      <w:r w:rsidR="00076C71">
        <w:rPr>
          <w:rFonts w:hint="cs"/>
          <w:b/>
          <w:bCs/>
          <w:u w:val="single"/>
          <w:rtl/>
        </w:rPr>
        <w:t xml:space="preserve"> זמניים, </w:t>
      </w:r>
      <w:r w:rsidRPr="00076C71">
        <w:rPr>
          <w:rFonts w:hint="cs"/>
          <w:b/>
          <w:bCs/>
          <w:u w:val="single"/>
          <w:rtl/>
        </w:rPr>
        <w:t xml:space="preserve">עבור הוצאותיהם השוטפות של הילדים. </w:t>
      </w:r>
    </w:p>
    <w:p w:rsidR="00F44E58" w:rsidRPr="00E83772" w:rsidRDefault="00F44E58" w:rsidP="00F44E58">
      <w:pPr>
        <w:pStyle w:val="ad"/>
        <w:rPr>
          <w:rtl/>
        </w:rPr>
      </w:pPr>
    </w:p>
    <w:p w:rsidR="00754ED2" w:rsidRDefault="00F44E58" w:rsidP="004F436D">
      <w:pPr>
        <w:pStyle w:val="ad"/>
        <w:numPr>
          <w:ilvl w:val="0"/>
          <w:numId w:val="1"/>
        </w:numPr>
        <w:spacing w:line="360" w:lineRule="auto"/>
        <w:jc w:val="both"/>
      </w:pPr>
      <w:r>
        <w:rPr>
          <w:rFonts w:hint="cs"/>
          <w:rtl/>
        </w:rPr>
        <w:t>עם זאת, דומני כי הוראות הסכם הגירושין בכל הנוגע לחלוקת בהוצאות רפואיות וחינוכיות של הקטינים אינן ברורות דיין</w:t>
      </w:r>
      <w:r w:rsidR="004F436D">
        <w:rPr>
          <w:rFonts w:hint="cs"/>
          <w:rtl/>
        </w:rPr>
        <w:t xml:space="preserve">.  </w:t>
      </w:r>
      <w:r>
        <w:rPr>
          <w:rFonts w:hint="cs"/>
          <w:rtl/>
        </w:rPr>
        <w:t>לפיכך</w:t>
      </w:r>
      <w:r w:rsidR="004F436D">
        <w:rPr>
          <w:rFonts w:hint="cs"/>
          <w:rtl/>
        </w:rPr>
        <w:t xml:space="preserve">, ומשאין מחלוקת כי על שני הצדדים לשאת בחלקים שווים בהוצאותיהם החריגות של הילדים, חינוך ובריאות, </w:t>
      </w:r>
      <w:r>
        <w:rPr>
          <w:rFonts w:hint="cs"/>
          <w:rtl/>
        </w:rPr>
        <w:t xml:space="preserve">בדעתי ליתן הוראה אשר תבהיר הוראות אלו ותבוא במקום </w:t>
      </w:r>
      <w:r w:rsidR="006F5F8F">
        <w:rPr>
          <w:rFonts w:hint="cs"/>
          <w:rtl/>
        </w:rPr>
        <w:t xml:space="preserve">הוראות סעיפים 4(ו)(ז)(ח)(ט) להסכם הגירושין, כפי שיפורט מיד </w:t>
      </w:r>
      <w:r w:rsidR="004F436D">
        <w:rPr>
          <w:rFonts w:hint="cs"/>
          <w:rtl/>
        </w:rPr>
        <w:t>ו</w:t>
      </w:r>
      <w:r w:rsidR="006F5F8F">
        <w:rPr>
          <w:rFonts w:hint="cs"/>
          <w:rtl/>
        </w:rPr>
        <w:t>להלן.</w:t>
      </w:r>
      <w:r w:rsidR="00754ED2">
        <w:rPr>
          <w:rFonts w:hint="cs"/>
          <w:rtl/>
        </w:rPr>
        <w:t xml:space="preserve">  למען הסר ספק,  מדובר בהחלטה מבהירה בלבד, כאשר </w:t>
      </w:r>
      <w:r w:rsidR="004F436D">
        <w:rPr>
          <w:rFonts w:hint="cs"/>
          <w:rtl/>
        </w:rPr>
        <w:t xml:space="preserve">לצורך התחשבנות, </w:t>
      </w:r>
      <w:r w:rsidR="00754ED2">
        <w:rPr>
          <w:rFonts w:hint="cs"/>
          <w:rtl/>
        </w:rPr>
        <w:t>החיוב המהותי חל החל ממועד פסק הדין שנתן תוקף להסכם הגירושין</w:t>
      </w:r>
      <w:r w:rsidR="00076C71">
        <w:rPr>
          <w:rFonts w:hint="cs"/>
          <w:rtl/>
        </w:rPr>
        <w:t>, קרי, 25.3.2021, וזאת כדלקמן:</w:t>
      </w:r>
    </w:p>
    <w:p w:rsidR="00076C71" w:rsidRDefault="00076C71" w:rsidP="00076C71">
      <w:pPr>
        <w:pStyle w:val="ad"/>
        <w:rPr>
          <w:rtl/>
        </w:rPr>
      </w:pPr>
    </w:p>
    <w:p w:rsidR="00754ED2" w:rsidRDefault="00754ED2" w:rsidP="00754ED2">
      <w:pPr>
        <w:pStyle w:val="ad"/>
        <w:rPr>
          <w:rtl/>
        </w:rPr>
      </w:pPr>
    </w:p>
    <w:p w:rsidR="00754ED2" w:rsidRDefault="00A61CF0" w:rsidP="00754ED2">
      <w:pPr>
        <w:pStyle w:val="ad"/>
        <w:numPr>
          <w:ilvl w:val="0"/>
          <w:numId w:val="1"/>
        </w:numPr>
        <w:spacing w:line="360" w:lineRule="auto"/>
        <w:jc w:val="both"/>
      </w:pPr>
      <w:r>
        <w:rPr>
          <w:rFonts w:hint="cs"/>
          <w:rtl/>
        </w:rPr>
        <w:t xml:space="preserve">שני </w:t>
      </w:r>
      <w:r w:rsidR="00754ED2" w:rsidRPr="0025613C">
        <w:rPr>
          <w:rFonts w:hint="cs"/>
          <w:rtl/>
        </w:rPr>
        <w:t xml:space="preserve">הצדדים </w:t>
      </w:r>
      <w:r>
        <w:rPr>
          <w:rFonts w:hint="cs"/>
          <w:rtl/>
        </w:rPr>
        <w:t xml:space="preserve">יישאו </w:t>
      </w:r>
      <w:r w:rsidR="00754ED2" w:rsidRPr="0025613C">
        <w:rPr>
          <w:rFonts w:hint="cs"/>
          <w:rtl/>
        </w:rPr>
        <w:t xml:space="preserve">בחלקים שווים ביניהם בהוצאות רפואיות </w:t>
      </w:r>
      <w:r w:rsidR="00754ED2" w:rsidRPr="00754ED2">
        <w:rPr>
          <w:rFonts w:hint="cs"/>
          <w:u w:val="single"/>
          <w:rtl/>
        </w:rPr>
        <w:t>חריגות</w:t>
      </w:r>
      <w:r w:rsidR="00754ED2" w:rsidRPr="0025613C">
        <w:rPr>
          <w:rFonts w:hint="cs"/>
          <w:rtl/>
        </w:rPr>
        <w:t xml:space="preserve"> מכל מין וסוג שהוא, לרבות רפואת שיניים כולל אורתודנטיה, טיפולים פסיכולוגיים/רגשיים, אבחונים לרבות אבחוני ליקוי למידה, וכל הוצאה רפואית אחרת חריגה אשר איננה מכוסה על ידי קופ"ח ובכלל זה הפרשים לאחר קבלת החזר מכל מקור שהוא.  כל החלטה על הוצאה רפואית, שאינה במצב חרום, תתקבל תוך שיתוף והיוועצות בין ההורים ובהסכמתם, ועל יסוד הוראה רפואית המאשרת את נחיצותה</w:t>
      </w:r>
      <w:r w:rsidR="00754ED2">
        <w:rPr>
          <w:rFonts w:hint="cs"/>
          <w:rtl/>
        </w:rPr>
        <w:t xml:space="preserve">.  </w:t>
      </w:r>
      <w:r w:rsidR="00754ED2" w:rsidRPr="00870490">
        <w:rPr>
          <w:rFonts w:hint="cs"/>
          <w:rtl/>
        </w:rPr>
        <w:t xml:space="preserve">במקרה של מחלוקת לגבי עלות ו/או נחיצות ההוצאה יכריע במחלוקת רופא המשפחה המטפל </w:t>
      </w:r>
      <w:r w:rsidR="00754ED2" w:rsidRPr="00754ED2">
        <w:rPr>
          <w:rFonts w:hint="cs"/>
          <w:b/>
          <w:bCs/>
          <w:u w:val="single"/>
          <w:rtl/>
        </w:rPr>
        <w:t>בקטינים</w:t>
      </w:r>
      <w:r w:rsidR="00754ED2" w:rsidRPr="00870490">
        <w:rPr>
          <w:rFonts w:hint="cs"/>
          <w:rtl/>
        </w:rPr>
        <w:t xml:space="preserve"> או רופא מומחה</w:t>
      </w:r>
      <w:r w:rsidR="00754ED2">
        <w:rPr>
          <w:rFonts w:hint="cs"/>
          <w:rtl/>
        </w:rPr>
        <w:t xml:space="preserve"> בתחום הדרוש המוסכם על הצדדים. </w:t>
      </w:r>
    </w:p>
    <w:p w:rsidR="00754ED2" w:rsidRDefault="00754ED2" w:rsidP="00754ED2">
      <w:pPr>
        <w:pStyle w:val="ad"/>
        <w:rPr>
          <w:rtl/>
        </w:rPr>
      </w:pPr>
    </w:p>
    <w:p w:rsidR="00A61CF0" w:rsidRDefault="00A61CF0" w:rsidP="00076C71">
      <w:pPr>
        <w:pStyle w:val="ad"/>
        <w:numPr>
          <w:ilvl w:val="0"/>
          <w:numId w:val="1"/>
        </w:numPr>
        <w:spacing w:line="360" w:lineRule="auto"/>
        <w:jc w:val="both"/>
      </w:pPr>
      <w:r>
        <w:rPr>
          <w:rFonts w:hint="cs"/>
          <w:rtl/>
        </w:rPr>
        <w:t xml:space="preserve">שני </w:t>
      </w:r>
      <w:r w:rsidR="00754ED2" w:rsidRPr="0025613C">
        <w:rPr>
          <w:rFonts w:hint="cs"/>
          <w:rtl/>
        </w:rPr>
        <w:t xml:space="preserve">הצדדים </w:t>
      </w:r>
      <w:r>
        <w:rPr>
          <w:rFonts w:hint="cs"/>
          <w:rtl/>
        </w:rPr>
        <w:t xml:space="preserve">יישאו </w:t>
      </w:r>
      <w:r w:rsidR="00754ED2" w:rsidRPr="0025613C">
        <w:rPr>
          <w:rFonts w:hint="cs"/>
          <w:rtl/>
        </w:rPr>
        <w:t xml:space="preserve">בחלקים שווים ביניהם בהוצאות החינוך על פי דרישת מערכת החינוך ו/או המסגרת החינוכית </w:t>
      </w:r>
      <w:r w:rsidR="00076C71">
        <w:rPr>
          <w:rFonts w:hint="cs"/>
          <w:rtl/>
        </w:rPr>
        <w:t>לרבות:</w:t>
      </w:r>
      <w:r w:rsidR="004F436D">
        <w:rPr>
          <w:rFonts w:hint="cs"/>
          <w:rtl/>
        </w:rPr>
        <w:t xml:space="preserve"> </w:t>
      </w:r>
      <w:r w:rsidR="00754ED2" w:rsidRPr="0025613C">
        <w:rPr>
          <w:rFonts w:hint="cs"/>
          <w:rtl/>
        </w:rPr>
        <w:t xml:space="preserve">אגרות חינוך, שכר לימוד, סל תרבות, וכל תשלום אחר הנדרש לתשלום ישירות למסגרת החינוכית, חוגים [עד שני חוגים לכל אחד מהקטינים בעלות מתנ"ס], שיעורי עזר, תנועת נוער,  כל החלטה על הוצאה חינוכית מהותית  תתקבל תוך שיתוף </w:t>
      </w:r>
      <w:r>
        <w:rPr>
          <w:rFonts w:hint="cs"/>
          <w:rtl/>
        </w:rPr>
        <w:t xml:space="preserve">והיוועצות בין ההורים ובהסכמתם. </w:t>
      </w:r>
      <w:r w:rsidR="00754ED2" w:rsidRPr="0025613C">
        <w:rPr>
          <w:rFonts w:hint="cs"/>
          <w:rtl/>
        </w:rPr>
        <w:t xml:space="preserve">במקרה של מחלוקת לגבי עלות ו/או נחיצות ההוצאה, תכריע במחלוקת יועצת בית הספר מחנכת הכיתה או גורם חינוכי אחר המקובל על הצדדים.  </w:t>
      </w:r>
    </w:p>
    <w:p w:rsidR="00A61CF0" w:rsidRDefault="00A61CF0" w:rsidP="00A61CF0">
      <w:pPr>
        <w:pStyle w:val="ad"/>
        <w:rPr>
          <w:rtl/>
        </w:rPr>
      </w:pPr>
    </w:p>
    <w:p w:rsidR="00A61CF0" w:rsidRDefault="00754ED2" w:rsidP="00A61CF0">
      <w:pPr>
        <w:pStyle w:val="ad"/>
        <w:numPr>
          <w:ilvl w:val="0"/>
          <w:numId w:val="1"/>
        </w:numPr>
        <w:spacing w:line="360" w:lineRule="auto"/>
        <w:jc w:val="both"/>
      </w:pPr>
      <w:r w:rsidRPr="0025613C">
        <w:rPr>
          <w:rFonts w:hint="cs"/>
          <w:rtl/>
        </w:rPr>
        <w:t xml:space="preserve">הורה אשר יישא במלוא הסכומים בגין ההוצאות המפורטות </w:t>
      </w:r>
      <w:r w:rsidR="00A61CF0">
        <w:rPr>
          <w:rFonts w:hint="cs"/>
          <w:rtl/>
        </w:rPr>
        <w:t xml:space="preserve">לעיל, </w:t>
      </w:r>
      <w:r w:rsidRPr="0025613C">
        <w:rPr>
          <w:rFonts w:hint="cs"/>
          <w:rtl/>
        </w:rPr>
        <w:t>יקבל מהורה השני את חלקו בהתאם לאמור לעיל, וזאת בתוך 10 ימים מיום שההורה המשלם שלח להורה השני דרישה בצירוף האסמכתא הרלוונטית על התשלום הנדרש, בסמס/ווטסאפ/מייל/בדואר רשום. אין השולח מחויב להוכיח כי ההורה השני קיבל לידיו את ההודעה, אלא כי שלח לו באח</w:t>
      </w:r>
      <w:r w:rsidR="00A61CF0">
        <w:rPr>
          <w:rFonts w:hint="cs"/>
          <w:rtl/>
        </w:rPr>
        <w:t>ד מאופני התקשורת המפורטים לעיל.</w:t>
      </w:r>
    </w:p>
    <w:p w:rsidR="00A61CF0" w:rsidRPr="00A61CF0" w:rsidRDefault="00A61CF0" w:rsidP="00A61CF0">
      <w:pPr>
        <w:pStyle w:val="ad"/>
        <w:rPr>
          <w:b/>
          <w:bCs/>
          <w:u w:val="single"/>
          <w:rtl/>
        </w:rPr>
      </w:pPr>
    </w:p>
    <w:p w:rsidR="00A61CF0" w:rsidRDefault="00A61CF0"/>
    <w:p w:rsidR="00A61CF0" w:rsidRPr="00076C71" w:rsidRDefault="00076C71" w:rsidP="00076C71">
      <w:pPr>
        <w:spacing w:line="360" w:lineRule="auto"/>
        <w:jc w:val="both"/>
        <w:rPr>
          <w:b/>
          <w:bCs/>
          <w:u w:val="single"/>
        </w:rPr>
      </w:pPr>
      <w:r w:rsidRPr="00076C71">
        <w:rPr>
          <w:rFonts w:hint="cs"/>
          <w:b/>
          <w:bCs/>
          <w:u w:val="single"/>
          <w:rtl/>
        </w:rPr>
        <w:t>המזכירות תמציא לצדדים.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מאי 2023</w:t>
          </w:r>
        </w:sdtContent>
      </w:sdt>
      <w:r w:rsidR="00005C8B">
        <w:rPr>
          <w:rFonts w:ascii="Arial" w:hAnsi="Arial"/>
          <w:noProof w:val="0"/>
          <w:rtl/>
        </w:rPr>
        <w:t>, בהעדר הצדדים.</w:t>
      </w:r>
    </w:p>
    <w:p w:rsidR="00C43648" w:rsidRDefault="0039072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10883267"/>
        </w:sdtPr>
        <w:sdtEndPr/>
        <w:sdtContent>
          <w:r w:rsidR="00E56DBE">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72A" w:rsidRDefault="0039072A">
      <w:r>
        <w:separator/>
      </w:r>
    </w:p>
  </w:endnote>
  <w:endnote w:type="continuationSeparator" w:id="0">
    <w:p w:rsidR="0039072A" w:rsidRDefault="0039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BE" w:rsidRDefault="00E56DB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648B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648BA">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BE" w:rsidRDefault="00E56DB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72A" w:rsidRDefault="0039072A">
      <w:r>
        <w:separator/>
      </w:r>
    </w:p>
  </w:footnote>
  <w:footnote w:type="continuationSeparator" w:id="0">
    <w:p w:rsidR="0039072A" w:rsidRDefault="00390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BE" w:rsidRDefault="00E56DB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5A2034">
          <w:pPr>
            <w:pStyle w:val="a3"/>
            <w:jc w:val="right"/>
            <w:rPr>
              <w:b/>
              <w:bCs/>
              <w:noProof w:val="0"/>
              <w:sz w:val="26"/>
              <w:szCs w:val="26"/>
              <w:rtl/>
            </w:rPr>
          </w:pPr>
          <w:r>
            <w:rPr>
              <w:rFonts w:hint="eastAsia"/>
              <w:b/>
              <w:bCs/>
              <w:noProof w:val="0"/>
              <w:sz w:val="26"/>
              <w:szCs w:val="26"/>
              <w:rtl/>
            </w:rPr>
            <w:t>‏</w:t>
          </w:r>
          <w:r>
            <w:rPr>
              <w:b/>
              <w:bCs/>
              <w:noProof w:val="0"/>
              <w:sz w:val="26"/>
              <w:szCs w:val="26"/>
              <w:rtl/>
            </w:rPr>
            <w:t>24 מאי 2023</w:t>
          </w:r>
        </w:p>
      </w:tc>
    </w:tr>
    <w:tr w:rsidR="00694556">
      <w:trPr>
        <w:trHeight w:val="337"/>
        <w:jc w:val="center"/>
      </w:trPr>
      <w:tc>
        <w:tcPr>
          <w:tcW w:w="8721" w:type="dxa"/>
          <w:gridSpan w:val="2"/>
        </w:tcPr>
        <w:p w:rsidR="007D45E3" w:rsidRDefault="0039072A" w:rsidP="00E56DBE">
          <w:pPr>
            <w:rPr>
              <w:b/>
              <w:bCs/>
              <w:noProof w:val="0"/>
              <w:sz w:val="26"/>
              <w:szCs w:val="26"/>
              <w:rtl/>
            </w:rPr>
          </w:pPr>
          <w:sdt>
            <w:sdtPr>
              <w:rPr>
                <w:rtl/>
              </w:rPr>
              <w:alias w:val="1170"/>
              <w:tag w:val="1170"/>
              <w:id w:val="1066377040"/>
              <w:text w:multiLine="1"/>
            </w:sdtPr>
            <w:sdtEndPr/>
            <w:sdtContent>
              <w:r w:rsidR="005301FE">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5301FE">
                <w:rPr>
                  <w:b/>
                  <w:bCs/>
                  <w:noProof w:val="0"/>
                  <w:sz w:val="26"/>
                  <w:szCs w:val="26"/>
                  <w:rtl/>
                </w:rPr>
                <w:t>4764-12-22</w:t>
              </w:r>
            </w:sdtContent>
          </w:sdt>
          <w:r w:rsidR="00005C8B">
            <w:rPr>
              <w:b/>
              <w:bCs/>
              <w:noProof w:val="0"/>
              <w:sz w:val="26"/>
              <w:szCs w:val="26"/>
              <w:rtl/>
            </w:rPr>
            <w:t xml:space="preserve"> </w:t>
          </w:r>
          <w:sdt>
            <w:sdtPr>
              <w:rPr>
                <w:rtl/>
              </w:rPr>
              <w:alias w:val="1172"/>
              <w:tag w:val="1172"/>
              <w:id w:val="-595170033"/>
              <w:text w:multiLine="1"/>
            </w:sdtPr>
            <w:sdtEndPr/>
            <w:sdtContent>
              <w:r w:rsidR="00E56DBE">
                <w:rPr>
                  <w:rFonts w:hint="cs"/>
                  <w:b/>
                  <w:bCs/>
                  <w:noProof w:val="0"/>
                  <w:sz w:val="26"/>
                  <w:szCs w:val="26"/>
                  <w:rtl/>
                </w:rPr>
                <w:t xml:space="preserve">פלוני </w:t>
              </w:r>
              <w:r w:rsidR="005301FE">
                <w:rPr>
                  <w:b/>
                  <w:bCs/>
                  <w:noProof w:val="0"/>
                  <w:sz w:val="26"/>
                  <w:szCs w:val="26"/>
                  <w:rtl/>
                </w:rPr>
                <w:t xml:space="preserve"> נ' </w:t>
              </w:r>
              <w:r w:rsidR="00E56DBE">
                <w:rPr>
                  <w:rFonts w:hint="cs"/>
                  <w:b/>
                  <w:bCs/>
                  <w:noProof w:val="0"/>
                  <w:sz w:val="26"/>
                  <w:szCs w:val="26"/>
                  <w:rtl/>
                </w:rPr>
                <w:t xml:space="preserve">אלמונית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BE" w:rsidRDefault="00E56D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253F"/>
    <w:multiLevelType w:val="multilevel"/>
    <w:tmpl w:val="473AEED2"/>
    <w:lvl w:ilvl="0">
      <w:start w:val="1"/>
      <w:numFmt w:val="hebrew1"/>
      <w:lvlText w:val="%1."/>
      <w:lvlJc w:val="center"/>
      <w:pPr>
        <w:ind w:left="360" w:hanging="360"/>
      </w:pPr>
      <w:rPr>
        <w:b w:val="0"/>
        <w:bCs w:val="0"/>
      </w:r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 w15:restartNumberingAfterBreak="0">
    <w:nsid w:val="68B06873"/>
    <w:multiLevelType w:val="hybridMultilevel"/>
    <w:tmpl w:val="7D3014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387591E"/>
    <w:multiLevelType w:val="hybridMultilevel"/>
    <w:tmpl w:val="17BE5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6AF6"/>
    <w:rsid w:val="00016043"/>
    <w:rsid w:val="000229A1"/>
    <w:rsid w:val="00042329"/>
    <w:rsid w:val="000529D2"/>
    <w:rsid w:val="000564AB"/>
    <w:rsid w:val="00064FBD"/>
    <w:rsid w:val="00076C71"/>
    <w:rsid w:val="00082AB2"/>
    <w:rsid w:val="00086D23"/>
    <w:rsid w:val="000906FE"/>
    <w:rsid w:val="000910CF"/>
    <w:rsid w:val="00092B86"/>
    <w:rsid w:val="00096AF7"/>
    <w:rsid w:val="000B344B"/>
    <w:rsid w:val="000C3B0F"/>
    <w:rsid w:val="000C3B60"/>
    <w:rsid w:val="000E0DD2"/>
    <w:rsid w:val="000E3AF1"/>
    <w:rsid w:val="000F0BC8"/>
    <w:rsid w:val="000F0DD6"/>
    <w:rsid w:val="0010047E"/>
    <w:rsid w:val="00107E6D"/>
    <w:rsid w:val="0011194C"/>
    <w:rsid w:val="00112421"/>
    <w:rsid w:val="0011424C"/>
    <w:rsid w:val="001173C6"/>
    <w:rsid w:val="001367BC"/>
    <w:rsid w:val="00144D2A"/>
    <w:rsid w:val="0014653E"/>
    <w:rsid w:val="00164950"/>
    <w:rsid w:val="00174013"/>
    <w:rsid w:val="00180519"/>
    <w:rsid w:val="00191C82"/>
    <w:rsid w:val="0019250C"/>
    <w:rsid w:val="001C4003"/>
    <w:rsid w:val="001C6DD0"/>
    <w:rsid w:val="001D4BCA"/>
    <w:rsid w:val="001D4DBF"/>
    <w:rsid w:val="001E6B08"/>
    <w:rsid w:val="001E75CA"/>
    <w:rsid w:val="00203E83"/>
    <w:rsid w:val="00220F10"/>
    <w:rsid w:val="002265FF"/>
    <w:rsid w:val="00234943"/>
    <w:rsid w:val="0023605C"/>
    <w:rsid w:val="00237561"/>
    <w:rsid w:val="00237E0F"/>
    <w:rsid w:val="00271B56"/>
    <w:rsid w:val="0027316B"/>
    <w:rsid w:val="00273B48"/>
    <w:rsid w:val="002C344E"/>
    <w:rsid w:val="002C3F4A"/>
    <w:rsid w:val="002C6CEF"/>
    <w:rsid w:val="002E75E9"/>
    <w:rsid w:val="00307A6A"/>
    <w:rsid w:val="00307C40"/>
    <w:rsid w:val="00320433"/>
    <w:rsid w:val="003230C7"/>
    <w:rsid w:val="00325075"/>
    <w:rsid w:val="00327E50"/>
    <w:rsid w:val="0033597A"/>
    <w:rsid w:val="00337368"/>
    <w:rsid w:val="00343D89"/>
    <w:rsid w:val="00362612"/>
    <w:rsid w:val="003648BA"/>
    <w:rsid w:val="0036743F"/>
    <w:rsid w:val="003715DD"/>
    <w:rsid w:val="003823E0"/>
    <w:rsid w:val="0039072A"/>
    <w:rsid w:val="003A4521"/>
    <w:rsid w:val="003A71C1"/>
    <w:rsid w:val="003C0FCE"/>
    <w:rsid w:val="003D1C8C"/>
    <w:rsid w:val="003D3F7E"/>
    <w:rsid w:val="003D7F05"/>
    <w:rsid w:val="0040096C"/>
    <w:rsid w:val="004140AA"/>
    <w:rsid w:val="00414F1F"/>
    <w:rsid w:val="0043125D"/>
    <w:rsid w:val="0043502B"/>
    <w:rsid w:val="004443AC"/>
    <w:rsid w:val="00444B02"/>
    <w:rsid w:val="00451E28"/>
    <w:rsid w:val="00462C62"/>
    <w:rsid w:val="00465D36"/>
    <w:rsid w:val="004678C6"/>
    <w:rsid w:val="004B6733"/>
    <w:rsid w:val="004C17EE"/>
    <w:rsid w:val="004C4BDF"/>
    <w:rsid w:val="004D1187"/>
    <w:rsid w:val="004D3AA0"/>
    <w:rsid w:val="004E1987"/>
    <w:rsid w:val="004E2E15"/>
    <w:rsid w:val="004E6E3C"/>
    <w:rsid w:val="004F436D"/>
    <w:rsid w:val="00512213"/>
    <w:rsid w:val="00520898"/>
    <w:rsid w:val="00523621"/>
    <w:rsid w:val="00524986"/>
    <w:rsid w:val="005268F6"/>
    <w:rsid w:val="005301FE"/>
    <w:rsid w:val="00534284"/>
    <w:rsid w:val="00547DB7"/>
    <w:rsid w:val="00594757"/>
    <w:rsid w:val="005A15EC"/>
    <w:rsid w:val="005A2034"/>
    <w:rsid w:val="005F4F09"/>
    <w:rsid w:val="005F6B04"/>
    <w:rsid w:val="0061431B"/>
    <w:rsid w:val="00622BAA"/>
    <w:rsid w:val="006306CF"/>
    <w:rsid w:val="00644E9A"/>
    <w:rsid w:val="00671BD5"/>
    <w:rsid w:val="006805C1"/>
    <w:rsid w:val="00686C21"/>
    <w:rsid w:val="006931C1"/>
    <w:rsid w:val="00694556"/>
    <w:rsid w:val="006A0850"/>
    <w:rsid w:val="006A5E83"/>
    <w:rsid w:val="006B5CC3"/>
    <w:rsid w:val="006B5F17"/>
    <w:rsid w:val="006C30C5"/>
    <w:rsid w:val="006C4820"/>
    <w:rsid w:val="006D3B31"/>
    <w:rsid w:val="006D59BF"/>
    <w:rsid w:val="006D6B53"/>
    <w:rsid w:val="006E0D96"/>
    <w:rsid w:val="006E1A53"/>
    <w:rsid w:val="006F56E6"/>
    <w:rsid w:val="006F5F8F"/>
    <w:rsid w:val="00703777"/>
    <w:rsid w:val="00704EDA"/>
    <w:rsid w:val="00721122"/>
    <w:rsid w:val="00731B79"/>
    <w:rsid w:val="00753019"/>
    <w:rsid w:val="00754801"/>
    <w:rsid w:val="00754ED2"/>
    <w:rsid w:val="00761441"/>
    <w:rsid w:val="00795365"/>
    <w:rsid w:val="007A351D"/>
    <w:rsid w:val="007A7DCC"/>
    <w:rsid w:val="007B65D6"/>
    <w:rsid w:val="007B7765"/>
    <w:rsid w:val="007C5BDD"/>
    <w:rsid w:val="007D45E3"/>
    <w:rsid w:val="007E18FF"/>
    <w:rsid w:val="007E6115"/>
    <w:rsid w:val="007F4609"/>
    <w:rsid w:val="00814468"/>
    <w:rsid w:val="008176A1"/>
    <w:rsid w:val="00820005"/>
    <w:rsid w:val="00844318"/>
    <w:rsid w:val="00845BF1"/>
    <w:rsid w:val="00856F57"/>
    <w:rsid w:val="0086061C"/>
    <w:rsid w:val="00863F5D"/>
    <w:rsid w:val="00870890"/>
    <w:rsid w:val="00873602"/>
    <w:rsid w:val="00875D12"/>
    <w:rsid w:val="00881CCE"/>
    <w:rsid w:val="0088479D"/>
    <w:rsid w:val="00896889"/>
    <w:rsid w:val="00897DAF"/>
    <w:rsid w:val="008A27A7"/>
    <w:rsid w:val="008A48A2"/>
    <w:rsid w:val="008B7008"/>
    <w:rsid w:val="008C5714"/>
    <w:rsid w:val="008C5730"/>
    <w:rsid w:val="008D10B2"/>
    <w:rsid w:val="00903896"/>
    <w:rsid w:val="00906F3D"/>
    <w:rsid w:val="0092186B"/>
    <w:rsid w:val="00930014"/>
    <w:rsid w:val="0094424E"/>
    <w:rsid w:val="00955642"/>
    <w:rsid w:val="009622DF"/>
    <w:rsid w:val="0096493F"/>
    <w:rsid w:val="00967DFF"/>
    <w:rsid w:val="009724B1"/>
    <w:rsid w:val="00994341"/>
    <w:rsid w:val="00996935"/>
    <w:rsid w:val="009B4030"/>
    <w:rsid w:val="009D1A48"/>
    <w:rsid w:val="009D6732"/>
    <w:rsid w:val="009E1CE7"/>
    <w:rsid w:val="009E4EA5"/>
    <w:rsid w:val="009F164B"/>
    <w:rsid w:val="009F1D76"/>
    <w:rsid w:val="009F2405"/>
    <w:rsid w:val="009F323C"/>
    <w:rsid w:val="00A3392B"/>
    <w:rsid w:val="00A43DB6"/>
    <w:rsid w:val="00A61CF0"/>
    <w:rsid w:val="00A85E34"/>
    <w:rsid w:val="00A937AF"/>
    <w:rsid w:val="00A94B64"/>
    <w:rsid w:val="00AA3229"/>
    <w:rsid w:val="00AA4264"/>
    <w:rsid w:val="00AA7596"/>
    <w:rsid w:val="00AB5E52"/>
    <w:rsid w:val="00AC1527"/>
    <w:rsid w:val="00AC30D6"/>
    <w:rsid w:val="00AC3B02"/>
    <w:rsid w:val="00AC3B7B"/>
    <w:rsid w:val="00AC5209"/>
    <w:rsid w:val="00AE0E34"/>
    <w:rsid w:val="00AE729E"/>
    <w:rsid w:val="00AE7752"/>
    <w:rsid w:val="00AF7FDA"/>
    <w:rsid w:val="00B147F3"/>
    <w:rsid w:val="00B31EF8"/>
    <w:rsid w:val="00B36FE1"/>
    <w:rsid w:val="00B45F7C"/>
    <w:rsid w:val="00B5203F"/>
    <w:rsid w:val="00B5356E"/>
    <w:rsid w:val="00B809AD"/>
    <w:rsid w:val="00B80CBD"/>
    <w:rsid w:val="00B84509"/>
    <w:rsid w:val="00B86096"/>
    <w:rsid w:val="00B964D9"/>
    <w:rsid w:val="00B97462"/>
    <w:rsid w:val="00BA0A7C"/>
    <w:rsid w:val="00BA517C"/>
    <w:rsid w:val="00BB3D05"/>
    <w:rsid w:val="00BB73BE"/>
    <w:rsid w:val="00BC2D89"/>
    <w:rsid w:val="00BD6531"/>
    <w:rsid w:val="00BE05B2"/>
    <w:rsid w:val="00BF1908"/>
    <w:rsid w:val="00BF4F7E"/>
    <w:rsid w:val="00BF79F7"/>
    <w:rsid w:val="00C04B32"/>
    <w:rsid w:val="00C22D93"/>
    <w:rsid w:val="00C23458"/>
    <w:rsid w:val="00C2461E"/>
    <w:rsid w:val="00C24DB7"/>
    <w:rsid w:val="00C31120"/>
    <w:rsid w:val="00C34482"/>
    <w:rsid w:val="00C43648"/>
    <w:rsid w:val="00C50A9F"/>
    <w:rsid w:val="00C642FA"/>
    <w:rsid w:val="00C84347"/>
    <w:rsid w:val="00C94729"/>
    <w:rsid w:val="00CC5B9C"/>
    <w:rsid w:val="00CC7622"/>
    <w:rsid w:val="00CD608F"/>
    <w:rsid w:val="00CF6BB7"/>
    <w:rsid w:val="00D04AA4"/>
    <w:rsid w:val="00D27982"/>
    <w:rsid w:val="00D33B86"/>
    <w:rsid w:val="00D44968"/>
    <w:rsid w:val="00D53924"/>
    <w:rsid w:val="00D55D0C"/>
    <w:rsid w:val="00D70C57"/>
    <w:rsid w:val="00D81006"/>
    <w:rsid w:val="00D96D8C"/>
    <w:rsid w:val="00D97AF4"/>
    <w:rsid w:val="00DA6649"/>
    <w:rsid w:val="00DC1259"/>
    <w:rsid w:val="00DC1BD2"/>
    <w:rsid w:val="00DC2571"/>
    <w:rsid w:val="00DC487C"/>
    <w:rsid w:val="00DC5D28"/>
    <w:rsid w:val="00DE1E7D"/>
    <w:rsid w:val="00DE6BF6"/>
    <w:rsid w:val="00DF2E81"/>
    <w:rsid w:val="00E04E84"/>
    <w:rsid w:val="00E1068A"/>
    <w:rsid w:val="00E24880"/>
    <w:rsid w:val="00E25884"/>
    <w:rsid w:val="00E25B55"/>
    <w:rsid w:val="00E31C2B"/>
    <w:rsid w:val="00E507BE"/>
    <w:rsid w:val="00E5426A"/>
    <w:rsid w:val="00E54642"/>
    <w:rsid w:val="00E54CD9"/>
    <w:rsid w:val="00E56DBE"/>
    <w:rsid w:val="00E80CBE"/>
    <w:rsid w:val="00E8341E"/>
    <w:rsid w:val="00E83772"/>
    <w:rsid w:val="00E962E3"/>
    <w:rsid w:val="00EB245D"/>
    <w:rsid w:val="00EB6C79"/>
    <w:rsid w:val="00EC37E9"/>
    <w:rsid w:val="00EC3AF5"/>
    <w:rsid w:val="00ED1A34"/>
    <w:rsid w:val="00F038D8"/>
    <w:rsid w:val="00F06995"/>
    <w:rsid w:val="00F13623"/>
    <w:rsid w:val="00F44D1D"/>
    <w:rsid w:val="00F44E58"/>
    <w:rsid w:val="00F63ED3"/>
    <w:rsid w:val="00F66446"/>
    <w:rsid w:val="00F84B6D"/>
    <w:rsid w:val="00F957E8"/>
    <w:rsid w:val="00F9653F"/>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140AA"/>
    <w:pPr>
      <w:ind w:left="720"/>
      <w:contextualSpacing/>
    </w:pPr>
    <w:rPr>
      <w:rFonts w:ascii="David" w:eastAsia="David" w:hAnsi="David"/>
      <w:noProof w:val="0"/>
    </w:rPr>
  </w:style>
  <w:style w:type="character" w:styleId="Hyperlink">
    <w:name w:val="Hyperlink"/>
    <w:basedOn w:val="a0"/>
    <w:rsid w:val="00754ED2"/>
    <w:rPr>
      <w:noProof w:val="0"/>
      <w:color w:val="0000FF" w:themeColor="hyperlink"/>
      <w:u w:val="single"/>
    </w:rPr>
  </w:style>
  <w:style w:type="paragraph" w:styleId="NormalWeb">
    <w:name w:val="Normal (Web)"/>
    <w:basedOn w:val="a"/>
    <w:uiPriority w:val="99"/>
    <w:semiHidden/>
    <w:unhideWhenUsed/>
    <w:rsid w:val="00A61CF0"/>
    <w:pPr>
      <w:bidi w:val="0"/>
      <w:snapToGrid w:val="0"/>
      <w:spacing w:before="15" w:after="15"/>
      <w:ind w:left="15" w:right="15"/>
    </w:pPr>
    <w:rPr>
      <w:rFonts w:cs="Times New Roman"/>
      <w:noProof w:val="0"/>
      <w:lang w:eastAsia="he-IL"/>
    </w:rPr>
  </w:style>
  <w:style w:type="paragraph" w:styleId="ae">
    <w:name w:val="Body Text Indent"/>
    <w:basedOn w:val="a"/>
    <w:link w:val="af"/>
    <w:uiPriority w:val="99"/>
    <w:semiHidden/>
    <w:unhideWhenUsed/>
    <w:rsid w:val="00A61CF0"/>
    <w:pPr>
      <w:snapToGrid w:val="0"/>
      <w:ind w:left="1440" w:hanging="720"/>
      <w:jc w:val="both"/>
    </w:pPr>
    <w:rPr>
      <w:noProof w:val="0"/>
      <w:sz w:val="20"/>
      <w:lang w:eastAsia="he-IL"/>
    </w:rPr>
  </w:style>
  <w:style w:type="character" w:customStyle="1" w:styleId="af">
    <w:name w:val="כניסה בגוף טקסט תו"/>
    <w:basedOn w:val="a0"/>
    <w:link w:val="ae"/>
    <w:uiPriority w:val="99"/>
    <w:semiHidden/>
    <w:rsid w:val="00A61CF0"/>
    <w:rPr>
      <w:rFonts w:cs="David"/>
      <w:szCs w:val="24"/>
      <w:lang w:eastAsia="he-IL"/>
    </w:rPr>
  </w:style>
  <w:style w:type="paragraph" w:styleId="2">
    <w:name w:val="Body Text Indent 2"/>
    <w:basedOn w:val="a"/>
    <w:link w:val="20"/>
    <w:uiPriority w:val="99"/>
    <w:semiHidden/>
    <w:unhideWhenUsed/>
    <w:rsid w:val="00A61CF0"/>
    <w:pPr>
      <w:snapToGrid w:val="0"/>
      <w:ind w:left="1440" w:hanging="720"/>
      <w:jc w:val="both"/>
    </w:pPr>
    <w:rPr>
      <w:noProof w:val="0"/>
      <w:sz w:val="20"/>
      <w:lang w:eastAsia="he-IL"/>
    </w:rPr>
  </w:style>
  <w:style w:type="character" w:customStyle="1" w:styleId="20">
    <w:name w:val="כניסה בגוף טקסט 2 תו"/>
    <w:basedOn w:val="a0"/>
    <w:link w:val="2"/>
    <w:uiPriority w:val="99"/>
    <w:semiHidden/>
    <w:rsid w:val="00A61CF0"/>
    <w:rPr>
      <w:rFonts w:cs="David"/>
      <w:szCs w:val="24"/>
      <w:lang w:eastAsia="he-IL"/>
    </w:rPr>
  </w:style>
  <w:style w:type="paragraph" w:styleId="3">
    <w:name w:val="Body Text Indent 3"/>
    <w:basedOn w:val="a"/>
    <w:link w:val="30"/>
    <w:uiPriority w:val="99"/>
    <w:semiHidden/>
    <w:unhideWhenUsed/>
    <w:rsid w:val="00A61CF0"/>
    <w:pPr>
      <w:snapToGrid w:val="0"/>
      <w:ind w:left="1440" w:hanging="720"/>
      <w:jc w:val="both"/>
    </w:pPr>
    <w:rPr>
      <w:noProof w:val="0"/>
      <w:sz w:val="20"/>
      <w:lang w:eastAsia="he-IL"/>
    </w:rPr>
  </w:style>
  <w:style w:type="character" w:customStyle="1" w:styleId="30">
    <w:name w:val="כניסה בגוף טקסט 3 תו"/>
    <w:basedOn w:val="a0"/>
    <w:link w:val="3"/>
    <w:uiPriority w:val="99"/>
    <w:semiHidden/>
    <w:rsid w:val="00A61CF0"/>
    <w:rPr>
      <w:rFonts w:cs="David"/>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167">
      <w:bodyDiv w:val="1"/>
      <w:marLeft w:val="0"/>
      <w:marRight w:val="0"/>
      <w:marTop w:val="0"/>
      <w:marBottom w:val="0"/>
      <w:divBdr>
        <w:top w:val="none" w:sz="0" w:space="0" w:color="auto"/>
        <w:left w:val="none" w:sz="0" w:space="0" w:color="auto"/>
        <w:bottom w:val="none" w:sz="0" w:space="0" w:color="auto"/>
        <w:right w:val="none" w:sz="0" w:space="0" w:color="auto"/>
      </w:divBdr>
    </w:div>
    <w:div w:id="533734813">
      <w:bodyDiv w:val="1"/>
      <w:marLeft w:val="0"/>
      <w:marRight w:val="0"/>
      <w:marTop w:val="0"/>
      <w:marBottom w:val="0"/>
      <w:divBdr>
        <w:top w:val="none" w:sz="0" w:space="0" w:color="auto"/>
        <w:left w:val="none" w:sz="0" w:space="0" w:color="auto"/>
        <w:bottom w:val="none" w:sz="0" w:space="0" w:color="auto"/>
        <w:right w:val="none" w:sz="0" w:space="0" w:color="auto"/>
      </w:divBdr>
    </w:div>
    <w:div w:id="12978367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1489;&#1506;&#1502;%205750/03"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links/psika/?link=&#1506;&#1488;%20302/80&amp;Pvol=&#1500;&#1491;"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links/psika/?link=&#1489;&#1506;&#1502;%202433/04&amp;Pvol=&#1500;&#1491;"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5373F" w:rsidP="0015373F">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5373F" w:rsidP="0015373F">
          <w:pPr>
            <w:pStyle w:val="D290653DA13E4E738B7E725F79D7332920"/>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5373F"/>
    <w:rsid w:val="001A27E8"/>
    <w:rsid w:val="002726EC"/>
    <w:rsid w:val="002D02C4"/>
    <w:rsid w:val="00345C9D"/>
    <w:rsid w:val="00405FEA"/>
    <w:rsid w:val="004745AE"/>
    <w:rsid w:val="0048651F"/>
    <w:rsid w:val="005157ED"/>
    <w:rsid w:val="00556D67"/>
    <w:rsid w:val="00746837"/>
    <w:rsid w:val="00793995"/>
    <w:rsid w:val="007B12F7"/>
    <w:rsid w:val="007C6F98"/>
    <w:rsid w:val="007E254A"/>
    <w:rsid w:val="00815B13"/>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1A27E8"/>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1A27E8"/>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1A27E8"/>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1A27E8"/>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1A27E8"/>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1A27E8"/>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1A27E8"/>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1A27E8"/>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1A27E8"/>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1A27E8"/>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1A27E8"/>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1A27E8"/>
    <w:pPr>
      <w:bidi/>
      <w:spacing w:after="0" w:line="240" w:lineRule="auto"/>
    </w:pPr>
    <w:rPr>
      <w:rFonts w:ascii="Times New Roman" w:eastAsia="Times New Roman" w:hAnsi="Times New Roman" w:cs="David"/>
      <w:noProof/>
      <w:sz w:val="24"/>
      <w:szCs w:val="24"/>
    </w:rPr>
  </w:style>
  <w:style w:type="paragraph" w:customStyle="1" w:styleId="05E7DE95815641A5862D6440CD534EB08">
    <w:name w:val="05E7DE95815641A5862D6440CD534EB08"/>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8">
    <w:name w:val="CDA250771D1A45329B0F0271A03838788"/>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8">
    <w:name w:val="BAA7C8D270FD4AD58EEC53F0343E378A8"/>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8">
    <w:name w:val="29BBD408062D41728D690A1D9BD5B6028"/>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4">
    <w:name w:val="4BF33E1147BC426FAB8DAED3C8F447A24"/>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4">
    <w:name w:val="D33668F5E1424FFE90641F85E0C45E204"/>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5373F"/>
    <w:pPr>
      <w:bidi/>
      <w:spacing w:after="0" w:line="240" w:lineRule="auto"/>
    </w:pPr>
    <w:rPr>
      <w:rFonts w:ascii="Times New Roman" w:eastAsia="Times New Roman" w:hAnsi="Times New Roman" w:cs="David"/>
      <w:noProof/>
      <w:sz w:val="24"/>
      <w:szCs w:val="24"/>
    </w:rPr>
  </w:style>
  <w:style w:type="paragraph" w:customStyle="1" w:styleId="05E7DE95815641A5862D6440CD534EB09">
    <w:name w:val="05E7DE95815641A5862D6440CD534EB09"/>
    <w:rsid w:val="0015373F"/>
    <w:pPr>
      <w:bidi/>
      <w:spacing w:after="0" w:line="240" w:lineRule="auto"/>
    </w:pPr>
    <w:rPr>
      <w:rFonts w:ascii="Times New Roman" w:eastAsia="Times New Roman" w:hAnsi="Times New Roman" w:cs="David"/>
      <w:noProof/>
      <w:sz w:val="24"/>
      <w:szCs w:val="24"/>
    </w:rPr>
  </w:style>
  <w:style w:type="paragraph" w:customStyle="1" w:styleId="CDA250771D1A45329B0F0271A03838789">
    <w:name w:val="CDA250771D1A45329B0F0271A03838789"/>
    <w:rsid w:val="0015373F"/>
    <w:pPr>
      <w:bidi/>
      <w:spacing w:after="0" w:line="240" w:lineRule="auto"/>
    </w:pPr>
    <w:rPr>
      <w:rFonts w:ascii="Times New Roman" w:eastAsia="Times New Roman" w:hAnsi="Times New Roman" w:cs="David"/>
      <w:noProof/>
      <w:sz w:val="24"/>
      <w:szCs w:val="24"/>
    </w:rPr>
  </w:style>
  <w:style w:type="paragraph" w:customStyle="1" w:styleId="BAA7C8D270FD4AD58EEC53F0343E378A9">
    <w:name w:val="BAA7C8D270FD4AD58EEC53F0343E378A9"/>
    <w:rsid w:val="0015373F"/>
    <w:pPr>
      <w:bidi/>
      <w:spacing w:after="0" w:line="240" w:lineRule="auto"/>
    </w:pPr>
    <w:rPr>
      <w:rFonts w:ascii="Times New Roman" w:eastAsia="Times New Roman" w:hAnsi="Times New Roman" w:cs="David"/>
      <w:noProof/>
      <w:sz w:val="24"/>
      <w:szCs w:val="24"/>
    </w:rPr>
  </w:style>
  <w:style w:type="paragraph" w:customStyle="1" w:styleId="29BBD408062D41728D690A1D9BD5B6029">
    <w:name w:val="29BBD408062D41728D690A1D9BD5B6029"/>
    <w:rsid w:val="0015373F"/>
    <w:pPr>
      <w:bidi/>
      <w:spacing w:after="0" w:line="240" w:lineRule="auto"/>
    </w:pPr>
    <w:rPr>
      <w:rFonts w:ascii="Times New Roman" w:eastAsia="Times New Roman" w:hAnsi="Times New Roman" w:cs="David"/>
      <w:noProof/>
      <w:sz w:val="24"/>
      <w:szCs w:val="24"/>
    </w:rPr>
  </w:style>
  <w:style w:type="paragraph" w:customStyle="1" w:styleId="4BF33E1147BC426FAB8DAED3C8F447A25">
    <w:name w:val="4BF33E1147BC426FAB8DAED3C8F447A25"/>
    <w:rsid w:val="0015373F"/>
    <w:pPr>
      <w:bidi/>
      <w:spacing w:after="0" w:line="240" w:lineRule="auto"/>
    </w:pPr>
    <w:rPr>
      <w:rFonts w:ascii="Times New Roman" w:eastAsia="Times New Roman" w:hAnsi="Times New Roman" w:cs="David"/>
      <w:noProof/>
      <w:sz w:val="24"/>
      <w:szCs w:val="24"/>
    </w:rPr>
  </w:style>
  <w:style w:type="paragraph" w:customStyle="1" w:styleId="D33668F5E1424FFE90641F85E0C45E205">
    <w:name w:val="D33668F5E1424FFE90641F85E0C45E205"/>
    <w:rsid w:val="0015373F"/>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15373F"/>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15373F"/>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15373F"/>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15373F"/>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5373F"/>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15373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7580</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2023-07-02T09:45:00Z</dcterms:created>
  <dcterms:modified xsi:type="dcterms:W3CDTF">2023-07-02T09:45:00Z</dcterms:modified>
</cp:coreProperties>
</file>